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B58696F" wp14:editId="79D1A309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6876B1" wp14:editId="149E7032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83338" w:rsidP="00386B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3338">
              <w:rPr>
                <w:rFonts w:ascii="Times New Roman" w:hAnsi="Times New Roman" w:cs="Times New Roman"/>
                <w:b/>
              </w:rPr>
              <w:t>ALP_AG_</w:t>
            </w:r>
            <w:r w:rsidR="00386B88">
              <w:rPr>
                <w:rFonts w:ascii="Times New Roman" w:hAnsi="Times New Roman" w:cs="Times New Roman"/>
                <w:b/>
              </w:rPr>
              <w:t>4</w:t>
            </w:r>
            <w:r w:rsidRPr="00983338"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983338" w:rsidP="0038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 xml:space="preserve">administracja </w:t>
            </w:r>
            <w:r w:rsidR="00386B88">
              <w:rPr>
                <w:rFonts w:ascii="Times New Roman" w:eastAsia="Calibri" w:hAnsi="Times New Roman" w:cs="Times New Roman"/>
                <w:b/>
                <w:caps/>
              </w:rPr>
              <w:t>GOSPODARCZA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>do wyboru: administracja gospodarcza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2D6A7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C34F34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w formie kolokwium pisemnego</w:t>
            </w:r>
          </w:p>
          <w:p w:rsidR="004B365F" w:rsidRPr="00B23FB7" w:rsidRDefault="004B365F" w:rsidP="00C34F3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C34F34">
              <w:rPr>
                <w:rFonts w:ascii="Times New Roman" w:hAnsi="Times New Roman" w:cs="Times New Roman"/>
              </w:rPr>
              <w:t>zaliczenie na ocenę – ocena zadań wykonywanych w czasie zajęć- ocenianie ciągłe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005FAA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5FAA" w:rsidRPr="00B23FB7" w:rsidRDefault="00005F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CDE" w:rsidRPr="00AB7CDE" w:rsidRDefault="00AB7CDE" w:rsidP="00AB7CDE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bCs/>
                <w:sz w:val="20"/>
                <w:szCs w:val="16"/>
              </w:rPr>
            </w:pPr>
            <w:proofErr w:type="spellStart"/>
            <w:r w:rsidRPr="00AB7CDE">
              <w:rPr>
                <w:bCs/>
                <w:sz w:val="20"/>
                <w:szCs w:val="16"/>
              </w:rPr>
              <w:t>Strzyczkowski</w:t>
            </w:r>
            <w:proofErr w:type="spellEnd"/>
            <w:r w:rsidRPr="00AB7CDE">
              <w:rPr>
                <w:bCs/>
                <w:sz w:val="20"/>
                <w:szCs w:val="16"/>
              </w:rPr>
              <w:t xml:space="preserve"> K., </w:t>
            </w:r>
            <w:r w:rsidRPr="00A22928">
              <w:rPr>
                <w:bCs/>
                <w:i/>
                <w:sz w:val="20"/>
                <w:szCs w:val="16"/>
              </w:rPr>
              <w:t>Prawo gospodarcze publiczne</w:t>
            </w:r>
            <w:r w:rsidRPr="00AB7CDE">
              <w:rPr>
                <w:bCs/>
                <w:sz w:val="20"/>
                <w:szCs w:val="16"/>
              </w:rPr>
              <w:t xml:space="preserve">, Wydawnictwo </w:t>
            </w:r>
            <w:proofErr w:type="spellStart"/>
            <w:r w:rsidRPr="00AB7CDE">
              <w:rPr>
                <w:bCs/>
                <w:sz w:val="20"/>
                <w:szCs w:val="16"/>
              </w:rPr>
              <w:t>LexisNexis</w:t>
            </w:r>
            <w:proofErr w:type="spellEnd"/>
            <w:r w:rsidRPr="00AB7CDE">
              <w:rPr>
                <w:bCs/>
                <w:sz w:val="20"/>
                <w:szCs w:val="16"/>
              </w:rPr>
              <w:t>, 2023.</w:t>
            </w:r>
          </w:p>
          <w:p w:rsidR="00005FAA" w:rsidRPr="00AB7CDE" w:rsidRDefault="00AB7CDE" w:rsidP="00A22928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bCs/>
                <w:sz w:val="20"/>
                <w:szCs w:val="16"/>
              </w:rPr>
            </w:pPr>
            <w:r w:rsidRPr="00AB7CDE">
              <w:rPr>
                <w:bCs/>
                <w:sz w:val="20"/>
                <w:szCs w:val="16"/>
              </w:rPr>
              <w:t xml:space="preserve">Teksty aktów normatywnych dostępnych w witrynie www.lex.pl    </w:t>
            </w:r>
          </w:p>
        </w:tc>
      </w:tr>
      <w:tr w:rsidR="00005FAA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5FAA" w:rsidRPr="00B23FB7" w:rsidRDefault="00005F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928" w:rsidRPr="00A22928" w:rsidRDefault="00A22928" w:rsidP="00A22928">
            <w:pPr>
              <w:pStyle w:val="Standard"/>
              <w:widowControl w:val="0"/>
              <w:numPr>
                <w:ilvl w:val="0"/>
                <w:numId w:val="28"/>
              </w:numPr>
              <w:jc w:val="both"/>
              <w:rPr>
                <w:bCs/>
                <w:sz w:val="20"/>
                <w:szCs w:val="16"/>
              </w:rPr>
            </w:pPr>
            <w:r w:rsidRPr="00A22928">
              <w:rPr>
                <w:bCs/>
                <w:sz w:val="20"/>
                <w:szCs w:val="16"/>
              </w:rPr>
              <w:t xml:space="preserve">Wierzbowski M., Gronkiewicz – Waltz H. (red.), </w:t>
            </w:r>
            <w:r w:rsidRPr="00A22928">
              <w:rPr>
                <w:bCs/>
                <w:i/>
                <w:sz w:val="20"/>
                <w:szCs w:val="16"/>
              </w:rPr>
              <w:t>Prawo gospodarcze. Aspekty publicznoprawne</w:t>
            </w:r>
            <w:r w:rsidRPr="00A22928">
              <w:rPr>
                <w:bCs/>
                <w:sz w:val="20"/>
                <w:szCs w:val="16"/>
              </w:rPr>
              <w:t>, Wydawnictwo Wolter Kluwer 2023.</w:t>
            </w:r>
          </w:p>
          <w:p w:rsidR="00005FAA" w:rsidRPr="00005FAA" w:rsidRDefault="00A22928" w:rsidP="00A22928">
            <w:pPr>
              <w:pStyle w:val="Standard"/>
              <w:widowControl w:val="0"/>
              <w:numPr>
                <w:ilvl w:val="0"/>
                <w:numId w:val="28"/>
              </w:numPr>
              <w:jc w:val="both"/>
              <w:rPr>
                <w:bCs/>
                <w:sz w:val="20"/>
                <w:szCs w:val="16"/>
              </w:rPr>
            </w:pPr>
            <w:r w:rsidRPr="00A22928">
              <w:rPr>
                <w:bCs/>
                <w:sz w:val="20"/>
                <w:szCs w:val="16"/>
              </w:rPr>
              <w:t>Wybrane orzecznictwo związane z problematyką realizowanych zajęć.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386B88" w:rsidRPr="00B1560E" w:rsidTr="008B631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B88" w:rsidRPr="00B1560E" w:rsidRDefault="00386B8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B88" w:rsidRPr="00386B88" w:rsidRDefault="00386B88" w:rsidP="00386B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86B88">
              <w:rPr>
                <w:rFonts w:ascii="Times New Roman" w:hAnsi="Times New Roman" w:cs="Times New Roman"/>
                <w:szCs w:val="20"/>
              </w:rPr>
              <w:t>Zapoznanie studentów z pojęciem administracji gospodarczej i jej relacjami względem podmiotów prawa gospodarczego publicznego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86B88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B88" w:rsidRPr="00B1560E" w:rsidRDefault="00386B8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B88" w:rsidRPr="00386B88" w:rsidRDefault="00386B88" w:rsidP="00386B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86B88">
              <w:rPr>
                <w:rFonts w:ascii="Times New Roman" w:hAnsi="Times New Roman" w:cs="Times New Roman"/>
                <w:szCs w:val="20"/>
              </w:rPr>
              <w:t>Nauczyć studentów z pojęciem funkcjonowania i funkcji naczelnych i centralnych organów administracji gospodarczej.</w:t>
            </w:r>
          </w:p>
        </w:tc>
      </w:tr>
      <w:tr w:rsidR="00386B88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B88" w:rsidRPr="00B1560E" w:rsidRDefault="00386B8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B88" w:rsidRPr="00386B88" w:rsidRDefault="00386B88" w:rsidP="00386B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86B88">
              <w:rPr>
                <w:rFonts w:ascii="Times New Roman" w:hAnsi="Times New Roman" w:cs="Times New Roman"/>
                <w:szCs w:val="20"/>
              </w:rPr>
              <w:t>Nauczyć studentów umiejętności identyfikacji przesłanek i diagnozowania sytuacji w zakresie poszczególnych organów administracji gospodarczej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„ Administracja gospodarcza” a „ Podmioty prawa gospodarczego publicznego”.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Podstawy prawne działania administracji gospodarczej w świetle Konstytucji RP oraz TUE.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Funkcje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władzy wykonawczej,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Naczelne i centralne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Inspekcje państwowe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terenowej administracji rządowej o właściwości ogólnej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samorządu terytorialnego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Pośrednia administracja gospodarcza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Przedsiębiorstwa publiczne</w:t>
            </w:r>
          </w:p>
          <w:p w:rsidR="009D629F" w:rsidRPr="00FF0240" w:rsidRDefault="00386B88" w:rsidP="00386B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Prywatyzacja zadań administracji gospodarczej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„ Administracja gospodarcza” a „ Podmioty prawa gospodarczego publicznego”.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Podstawy prawne działania administracji gospodarczej w świetle Konstytucji RP oraz TUE.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Funkcje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władzy wykonawczej,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Naczelne i centralne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Inspekcje państwowe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Organy terenowej administracji rządowej o </w:t>
            </w: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właściwości ogólnej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samorządu terytorialnego jako organy administracji gospodarczej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Pośrednia administracja gospodarcza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Przedsiębiorstwa publiczne</w:t>
            </w:r>
          </w:p>
          <w:p w:rsidR="00386B88" w:rsidRPr="00386B88" w:rsidRDefault="00386B88" w:rsidP="00386B8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Prywatyzacja zadań administracji gospodarczej</w:t>
            </w:r>
          </w:p>
          <w:p w:rsidR="007152AF" w:rsidRPr="007152AF" w:rsidRDefault="00386B88" w:rsidP="0038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86B88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83338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338" w:rsidRPr="001D18F7" w:rsidRDefault="0098333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338" w:rsidRPr="002060EE" w:rsidRDefault="00417F98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>Student zna pojęcie administracji gospodarczej i jej relacje względem podmiotów prawa gospodarczego publicznego oraz jej interpretacje w ujęciu przedmiotowym, podmiotowym, funkcjonalnym, a także w kontekście integracji europejskiej.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  <w:p w:rsidR="007708DA" w:rsidRPr="001D18F7" w:rsidRDefault="007708D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Pr="001D18F7" w:rsidRDefault="0098333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7708DA" w:rsidRPr="001D18F7" w:rsidRDefault="007708D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708DA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08DA" w:rsidRPr="001D18F7" w:rsidRDefault="007708D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08DA" w:rsidRPr="002060EE" w:rsidRDefault="007708DA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>Student zna funkcje administracji gospodarczej ( w tym takie pojęcia jak: policja gospodarcza, reglamentacja gospodarcza, regulacja gospodarcza, nadzór gospodarczy, kierownictwo gospodarcze, wspieranie gospodarki, planowanie gospodarcze).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8DA" w:rsidRPr="001D18F7" w:rsidRDefault="007708DA" w:rsidP="00053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8DA" w:rsidRPr="001D18F7" w:rsidRDefault="007708D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8DA" w:rsidRDefault="007708D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7708DA" w:rsidRPr="001D18F7" w:rsidRDefault="007708D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708DA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08DA" w:rsidRPr="001D18F7" w:rsidRDefault="007708D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08DA" w:rsidRPr="002060EE" w:rsidRDefault="007708DA" w:rsidP="00417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>Student zna zasady funkcjonowania i funkcje administracji gospodarczej.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8DA" w:rsidRPr="001D18F7" w:rsidRDefault="007708DA" w:rsidP="00053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8DA" w:rsidRPr="001D18F7" w:rsidRDefault="007708D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8DA" w:rsidRDefault="007708D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7708DA" w:rsidRPr="001D18F7" w:rsidRDefault="007708D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5311D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05311D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2060EE" w:rsidRDefault="0005311D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>Student potrafi wykorzystywać wiedzę teoretyczną i pozyskiwać dane niezbędne do analizowania konkretnych zjawisk w obrębie administracji gospodarczej.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5311D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2060EE" w:rsidRDefault="0005311D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>Student prawidłowo posługuje się systemem normatywnym regulującym funkcjonowanie administracji gospodarczej w celu rozwiązania pojawiających się problemów w zakresie administracji gospodarczej.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5311D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2060EE" w:rsidRDefault="0005311D" w:rsidP="00053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>Student potrafi wykorzystać zdobyt</w:t>
            </w:r>
            <w:r>
              <w:rPr>
                <w:rFonts w:ascii="Times New Roman" w:hAnsi="Times New Roman" w:cs="Times New Roman"/>
                <w:szCs w:val="20"/>
              </w:rPr>
              <w:t>ą</w:t>
            </w:r>
            <w:r w:rsidRPr="00417F98">
              <w:rPr>
                <w:rFonts w:ascii="Times New Roman" w:hAnsi="Times New Roman" w:cs="Times New Roman"/>
                <w:szCs w:val="20"/>
              </w:rPr>
              <w:t xml:space="preserve"> wiedzę do rozstrzygania kwestii dotyczących administracji gospodarczej pojawiających się w jego pracy zawodowej.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053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5311D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05311D" w:rsidRPr="001D18F7" w:rsidTr="00C74285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2060EE" w:rsidRDefault="0005311D" w:rsidP="00417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A2C76">
              <w:rPr>
                <w:rFonts w:ascii="Times New Roman" w:hAnsi="Times New Roman" w:cs="Times New Roman"/>
                <w:szCs w:val="20"/>
              </w:rPr>
              <w:t>Student potrafi uzupełniać i doskonalić nabytą w trakcie studiów wiedzę i umiejętności.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5311D" w:rsidRPr="001D18F7" w:rsidTr="00C74285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311D" w:rsidRPr="002060EE" w:rsidRDefault="0005311D" w:rsidP="00417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A2C76">
              <w:rPr>
                <w:rFonts w:ascii="Times New Roman" w:hAnsi="Times New Roman" w:cs="Times New Roman"/>
                <w:szCs w:val="20"/>
              </w:rPr>
              <w:t>Student potrafi prawidłowo identyfikować i rozstrzygać kwestie związane z wykonywaniem pracy zawodowej.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053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11D" w:rsidRPr="001D18F7" w:rsidRDefault="0005311D" w:rsidP="00F1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 w:rsidR="00F1641C"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A2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8A2C76">
              <w:rPr>
                <w:rFonts w:ascii="Times New Roman" w:eastAsia="Calibri" w:hAnsi="Times New Roman" w:cs="Times New Roman"/>
                <w:szCs w:val="18"/>
              </w:rPr>
              <w:t>gospodarczej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8A2C76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8A2C76">
              <w:rPr>
                <w:rFonts w:ascii="Times New Roman" w:eastAsia="Calibri" w:hAnsi="Times New Roman" w:cs="Times New Roman"/>
                <w:szCs w:val="18"/>
              </w:rPr>
              <w:t>gospodarczej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8A2C76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8A2C76">
              <w:rPr>
                <w:rFonts w:ascii="Times New Roman" w:eastAsia="Calibri" w:hAnsi="Times New Roman" w:cs="Times New Roman"/>
                <w:szCs w:val="18"/>
              </w:rPr>
              <w:t>gospodarczej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8A2C76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8A2C76">
              <w:rPr>
                <w:rFonts w:ascii="Times New Roman" w:eastAsia="Calibri" w:hAnsi="Times New Roman" w:cs="Times New Roman"/>
                <w:szCs w:val="18"/>
              </w:rPr>
              <w:t>gospodarczej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8A2C76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8A2C76">
              <w:rPr>
                <w:rFonts w:ascii="Times New Roman" w:eastAsia="Calibri" w:hAnsi="Times New Roman" w:cs="Times New Roman"/>
                <w:szCs w:val="18"/>
              </w:rPr>
              <w:t>gospodarczej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8A2C76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8A2C76">
              <w:rPr>
                <w:rFonts w:ascii="Times New Roman" w:eastAsia="Calibri" w:hAnsi="Times New Roman" w:cs="Times New Roman"/>
                <w:szCs w:val="18"/>
              </w:rPr>
              <w:t>gospodarczej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2932A0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2932A0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bookmarkStart w:id="0" w:name="_GoBack"/>
            <w:r w:rsidRPr="002932A0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2932A0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2932A0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2932A0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2932A0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2932A0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2932A0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2932A0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2932A0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bookmarkEnd w:id="0"/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2932A0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2932A0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egzaminu 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C34F34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C3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C34F34">
              <w:rPr>
                <w:rFonts w:ascii="Times New Roman" w:hAnsi="Times New Roman" w:cs="Times New Roman"/>
              </w:rPr>
              <w:t>zaliczenie na ocenę – ocena zadań wykonywanych w czasie zajęć- ocenianie ciągłe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932A0" w:rsidRPr="00B23FB7" w:rsidTr="00445C54">
        <w:tc>
          <w:tcPr>
            <w:tcW w:w="1209" w:type="dxa"/>
            <w:vAlign w:val="center"/>
          </w:tcPr>
          <w:p w:rsidR="002932A0" w:rsidRPr="00B23FB7" w:rsidRDefault="002932A0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A0" w:rsidRPr="00B23FB7" w:rsidTr="00445C54">
        <w:tc>
          <w:tcPr>
            <w:tcW w:w="1209" w:type="dxa"/>
            <w:vAlign w:val="center"/>
          </w:tcPr>
          <w:p w:rsidR="002932A0" w:rsidRPr="00B23FB7" w:rsidRDefault="002932A0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A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2932A0" w:rsidRPr="00B23FB7" w:rsidRDefault="002932A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A0" w:rsidRPr="00B23FB7" w:rsidTr="00445C54">
        <w:tc>
          <w:tcPr>
            <w:tcW w:w="1209" w:type="dxa"/>
            <w:vAlign w:val="center"/>
          </w:tcPr>
          <w:p w:rsidR="002932A0" w:rsidRPr="00B23FB7" w:rsidRDefault="002932A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791C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A0" w:rsidRPr="00B23FB7" w:rsidTr="00445C54">
        <w:tc>
          <w:tcPr>
            <w:tcW w:w="1209" w:type="dxa"/>
            <w:vAlign w:val="center"/>
          </w:tcPr>
          <w:p w:rsidR="002932A0" w:rsidRPr="00B23FB7" w:rsidRDefault="002932A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2932A0" w:rsidRPr="00B23FB7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932A0" w:rsidRPr="00B23FB7" w:rsidRDefault="002932A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791C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A0" w:rsidRPr="00B23FB7" w:rsidTr="00445C54">
        <w:tc>
          <w:tcPr>
            <w:tcW w:w="1209" w:type="dxa"/>
            <w:vAlign w:val="center"/>
          </w:tcPr>
          <w:p w:rsidR="002932A0" w:rsidRPr="00B23FB7" w:rsidRDefault="002932A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2932A0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932A0" w:rsidRDefault="002932A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791C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A0" w:rsidRPr="00B23FB7" w:rsidTr="003613BD">
        <w:trPr>
          <w:trHeight w:val="425"/>
        </w:trPr>
        <w:tc>
          <w:tcPr>
            <w:tcW w:w="1209" w:type="dxa"/>
            <w:vAlign w:val="center"/>
          </w:tcPr>
          <w:p w:rsidR="002932A0" w:rsidRPr="00936E7B" w:rsidRDefault="002932A0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2932A0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932A0" w:rsidRDefault="002932A0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791C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A0" w:rsidRPr="00B23FB7" w:rsidTr="003613BD">
        <w:trPr>
          <w:trHeight w:val="425"/>
        </w:trPr>
        <w:tc>
          <w:tcPr>
            <w:tcW w:w="1209" w:type="dxa"/>
            <w:vAlign w:val="center"/>
          </w:tcPr>
          <w:p w:rsidR="002932A0" w:rsidRPr="00936E7B" w:rsidRDefault="002932A0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2932A0" w:rsidRDefault="002932A0" w:rsidP="00B458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932A0" w:rsidRDefault="002932A0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32A0" w:rsidRPr="00B23FB7" w:rsidRDefault="002932A0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932A0" w:rsidRPr="00B23FB7" w:rsidRDefault="002932A0" w:rsidP="00791C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932A0" w:rsidRPr="00B23FB7" w:rsidRDefault="002932A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C34F34" w:rsidRDefault="00C34F34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C34F34" w:rsidRDefault="00C34F34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C34F34" w:rsidRDefault="00C34F34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C34F34" w:rsidRPr="0020390B" w:rsidRDefault="00C34F34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C3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C34F34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42E3B">
              <w:rPr>
                <w:rFonts w:ascii="Times New Roman" w:eastAsia="Calibri" w:hAnsi="Times New Roman" w:cs="Times New Roman"/>
              </w:rPr>
              <w:t>,04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C3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C34F34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C34F34" w:rsidP="00C3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0D3D3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1"/>
  </w:num>
  <w:num w:numId="5">
    <w:abstractNumId w:val="23"/>
  </w:num>
  <w:num w:numId="6">
    <w:abstractNumId w:val="0"/>
  </w:num>
  <w:num w:numId="7">
    <w:abstractNumId w:val="24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22"/>
  </w:num>
  <w:num w:numId="14">
    <w:abstractNumId w:val="10"/>
  </w:num>
  <w:num w:numId="15">
    <w:abstractNumId w:val="8"/>
  </w:num>
  <w:num w:numId="16">
    <w:abstractNumId w:val="20"/>
  </w:num>
  <w:num w:numId="17">
    <w:abstractNumId w:val="15"/>
  </w:num>
  <w:num w:numId="18">
    <w:abstractNumId w:val="25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13"/>
  </w:num>
  <w:num w:numId="24">
    <w:abstractNumId w:val="6"/>
  </w:num>
  <w:num w:numId="25">
    <w:abstractNumId w:val="16"/>
  </w:num>
  <w:num w:numId="26">
    <w:abstractNumId w:val="18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333F"/>
    <w:rsid w:val="0003597A"/>
    <w:rsid w:val="0005311D"/>
    <w:rsid w:val="000718A0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61F08"/>
    <w:rsid w:val="00274685"/>
    <w:rsid w:val="002932A0"/>
    <w:rsid w:val="002B3A94"/>
    <w:rsid w:val="002C3853"/>
    <w:rsid w:val="002D0441"/>
    <w:rsid w:val="002D6A7E"/>
    <w:rsid w:val="003010C1"/>
    <w:rsid w:val="00324E6B"/>
    <w:rsid w:val="003372AB"/>
    <w:rsid w:val="003457A3"/>
    <w:rsid w:val="00347081"/>
    <w:rsid w:val="003613BD"/>
    <w:rsid w:val="00386B88"/>
    <w:rsid w:val="003913A3"/>
    <w:rsid w:val="003E0F50"/>
    <w:rsid w:val="0040153E"/>
    <w:rsid w:val="00402C35"/>
    <w:rsid w:val="004164BA"/>
    <w:rsid w:val="00417815"/>
    <w:rsid w:val="00417F98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C63B3"/>
    <w:rsid w:val="005E1F40"/>
    <w:rsid w:val="005F2732"/>
    <w:rsid w:val="005F4F40"/>
    <w:rsid w:val="00613899"/>
    <w:rsid w:val="006549DE"/>
    <w:rsid w:val="00662E69"/>
    <w:rsid w:val="00664D97"/>
    <w:rsid w:val="00705399"/>
    <w:rsid w:val="007152AF"/>
    <w:rsid w:val="00722DAB"/>
    <w:rsid w:val="007708DA"/>
    <w:rsid w:val="0077565A"/>
    <w:rsid w:val="007821CD"/>
    <w:rsid w:val="00782415"/>
    <w:rsid w:val="00794A09"/>
    <w:rsid w:val="007960DF"/>
    <w:rsid w:val="007A7D44"/>
    <w:rsid w:val="007B3597"/>
    <w:rsid w:val="007C73EB"/>
    <w:rsid w:val="007D40BE"/>
    <w:rsid w:val="007E109D"/>
    <w:rsid w:val="008304BE"/>
    <w:rsid w:val="0084074D"/>
    <w:rsid w:val="008561F3"/>
    <w:rsid w:val="008600D6"/>
    <w:rsid w:val="008674ED"/>
    <w:rsid w:val="00871AB7"/>
    <w:rsid w:val="00897224"/>
    <w:rsid w:val="008A2C76"/>
    <w:rsid w:val="008B38F6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1560E"/>
    <w:rsid w:val="00B23FB7"/>
    <w:rsid w:val="00B5260E"/>
    <w:rsid w:val="00B762A5"/>
    <w:rsid w:val="00BA2DFB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34F34"/>
    <w:rsid w:val="00C54671"/>
    <w:rsid w:val="00C57808"/>
    <w:rsid w:val="00C90FD1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8200F"/>
    <w:rsid w:val="00DF702C"/>
    <w:rsid w:val="00E25315"/>
    <w:rsid w:val="00E32D3C"/>
    <w:rsid w:val="00E33647"/>
    <w:rsid w:val="00E61DA3"/>
    <w:rsid w:val="00E75EF6"/>
    <w:rsid w:val="00EB33D7"/>
    <w:rsid w:val="00EB431D"/>
    <w:rsid w:val="00EC75D3"/>
    <w:rsid w:val="00EE6BCA"/>
    <w:rsid w:val="00EF3D4C"/>
    <w:rsid w:val="00F05D7C"/>
    <w:rsid w:val="00F06174"/>
    <w:rsid w:val="00F103A2"/>
    <w:rsid w:val="00F1641C"/>
    <w:rsid w:val="00F45F92"/>
    <w:rsid w:val="00F60EF6"/>
    <w:rsid w:val="00F707FC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13</cp:revision>
  <dcterms:created xsi:type="dcterms:W3CDTF">2023-11-25T22:00:00Z</dcterms:created>
  <dcterms:modified xsi:type="dcterms:W3CDTF">2023-11-27T21:57:00Z</dcterms:modified>
</cp:coreProperties>
</file>