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D66CDB8" wp14:editId="5BEED6C5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235FB" wp14:editId="73CDC608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F2034" w:rsidP="00F641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ALP_AJST</w:t>
            </w:r>
            <w:r w:rsidR="005D7526" w:rsidRPr="005D7526">
              <w:rPr>
                <w:rFonts w:ascii="Times New Roman" w:hAnsi="Times New Roman" w:cs="Times New Roman"/>
                <w:b/>
              </w:rPr>
              <w:t>_</w:t>
            </w:r>
            <w:r w:rsidR="00F64145">
              <w:rPr>
                <w:rFonts w:ascii="Times New Roman" w:hAnsi="Times New Roman" w:cs="Times New Roman"/>
                <w:b/>
              </w:rPr>
              <w:t>507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F64145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F64145">
              <w:rPr>
                <w:rFonts w:ascii="Times New Roman" w:eastAsia="Calibri" w:hAnsi="Times New Roman" w:cs="Times New Roman"/>
                <w:b/>
                <w:caps/>
              </w:rPr>
              <w:t>Budżet JST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F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9F2034">
              <w:rPr>
                <w:rFonts w:ascii="Times New Roman" w:eastAsia="Calibri" w:hAnsi="Times New Roman" w:cs="Times New Roman"/>
              </w:rPr>
              <w:t>jednostek samorządu terytorialnego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64145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1E0CD5">
              <w:rPr>
                <w:rFonts w:ascii="Times New Roman" w:hAnsi="Times New Roman" w:cs="Times New Roman"/>
              </w:rPr>
              <w:t>egzamin pisemny – 3 pytania otwarte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C75595" w:rsidRDefault="00C75595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755" w:rsidRDefault="00E02755" w:rsidP="00E027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Salachna J.M. (red.), </w:t>
            </w:r>
            <w:r w:rsidRPr="00E02755">
              <w:rPr>
                <w:rFonts w:ascii="Times New Roman" w:hAnsi="Times New Roman"/>
                <w:i/>
                <w:szCs w:val="18"/>
              </w:rPr>
              <w:t>Gospodarka finansowa jednostek samorządu terytorialnego</w:t>
            </w:r>
            <w:r>
              <w:rPr>
                <w:rFonts w:ascii="Times New Roman" w:hAnsi="Times New Roman"/>
                <w:szCs w:val="18"/>
              </w:rPr>
              <w:t>, 2023.</w:t>
            </w:r>
          </w:p>
          <w:p w:rsidR="00A928C2" w:rsidRPr="00C75595" w:rsidRDefault="00E52781" w:rsidP="00C7559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Sołtyk P., </w:t>
            </w:r>
            <w:r w:rsidRPr="00E52781">
              <w:rPr>
                <w:rFonts w:ascii="Times New Roman" w:hAnsi="Times New Roman"/>
                <w:i/>
                <w:szCs w:val="18"/>
              </w:rPr>
              <w:t>Finanse samorządowe. Teoria i praktyka. Wydanie 2</w:t>
            </w:r>
            <w:r w:rsidR="00A928C2" w:rsidRPr="00A928C2">
              <w:rPr>
                <w:rFonts w:ascii="Times New Roman" w:hAnsi="Times New Roman"/>
                <w:szCs w:val="18"/>
              </w:rPr>
              <w:t xml:space="preserve">, </w:t>
            </w:r>
            <w:r>
              <w:rPr>
                <w:rFonts w:ascii="Times New Roman" w:hAnsi="Times New Roman"/>
                <w:szCs w:val="18"/>
              </w:rPr>
              <w:t>2020.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755" w:rsidRDefault="00E02755" w:rsidP="00E027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kern w:val="36"/>
                <w:szCs w:val="18"/>
              </w:rPr>
              <w:t xml:space="preserve">Bitner M., </w:t>
            </w:r>
            <w:proofErr w:type="spellStart"/>
            <w:r>
              <w:rPr>
                <w:rFonts w:ascii="Times New Roman" w:hAnsi="Times New Roman"/>
                <w:kern w:val="36"/>
                <w:szCs w:val="18"/>
              </w:rPr>
              <w:t>Kornberger</w:t>
            </w:r>
            <w:proofErr w:type="spellEnd"/>
            <w:r>
              <w:rPr>
                <w:rFonts w:ascii="Times New Roman" w:hAnsi="Times New Roman"/>
                <w:kern w:val="36"/>
                <w:szCs w:val="18"/>
              </w:rPr>
              <w:t xml:space="preserve">-Sokołowska E., </w:t>
            </w:r>
            <w:r w:rsidRPr="00E52781">
              <w:rPr>
                <w:rFonts w:ascii="Times New Roman" w:hAnsi="Times New Roman"/>
                <w:i/>
                <w:kern w:val="36"/>
                <w:szCs w:val="18"/>
              </w:rPr>
              <w:t>Prawo finansów samorządowych</w:t>
            </w:r>
            <w:r w:rsidRPr="00A928C2">
              <w:rPr>
                <w:rFonts w:ascii="Times New Roman" w:hAnsi="Times New Roman"/>
                <w:kern w:val="36"/>
                <w:szCs w:val="18"/>
              </w:rPr>
              <w:t xml:space="preserve">, </w:t>
            </w:r>
            <w:r>
              <w:rPr>
                <w:rFonts w:ascii="Times New Roman" w:hAnsi="Times New Roman"/>
                <w:kern w:val="36"/>
                <w:szCs w:val="18"/>
              </w:rPr>
              <w:t>2018.</w:t>
            </w:r>
          </w:p>
          <w:p w:rsidR="00A928C2" w:rsidRPr="00E02755" w:rsidRDefault="00E52781" w:rsidP="00E027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Kowalczyk M.</w:t>
            </w:r>
            <w:r w:rsidR="00A928C2" w:rsidRPr="00A928C2">
              <w:rPr>
                <w:rFonts w:ascii="Times New Roman" w:hAnsi="Times New Roman"/>
                <w:szCs w:val="18"/>
              </w:rPr>
              <w:t xml:space="preserve">, </w:t>
            </w:r>
            <w:r w:rsidRPr="00E52781">
              <w:rPr>
                <w:rFonts w:ascii="Times New Roman" w:hAnsi="Times New Roman"/>
                <w:i/>
                <w:szCs w:val="18"/>
              </w:rPr>
              <w:t>Podstawy analizy ekonomiczno-finansowej w jednostkach samorządu terytorialnego</w:t>
            </w:r>
            <w:r w:rsidR="00A928C2" w:rsidRPr="00A928C2">
              <w:rPr>
                <w:rFonts w:ascii="Times New Roman" w:hAnsi="Times New Roman"/>
                <w:szCs w:val="18"/>
              </w:rPr>
              <w:t>, 201</w:t>
            </w:r>
            <w:r>
              <w:rPr>
                <w:rFonts w:ascii="Times New Roman" w:hAnsi="Times New Roman"/>
                <w:szCs w:val="18"/>
              </w:rPr>
              <w:t>7</w:t>
            </w:r>
            <w:r w:rsidR="00A928C2" w:rsidRPr="00A928C2">
              <w:rPr>
                <w:rFonts w:ascii="Times New Roman" w:hAnsi="Times New Roman"/>
                <w:szCs w:val="18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F64145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4145" w:rsidRPr="00B1560E" w:rsidRDefault="00F6414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145" w:rsidRPr="00F64145" w:rsidRDefault="00F64145" w:rsidP="00F641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64145">
              <w:rPr>
                <w:rFonts w:ascii="Times New Roman" w:hAnsi="Times New Roman" w:cs="Times New Roman"/>
                <w:szCs w:val="20"/>
              </w:rPr>
              <w:t>Zapoznać studentów z funkcjonowaniem systemu finansów JST w Polsce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F641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6414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4145" w:rsidRPr="00B1560E" w:rsidRDefault="00F6414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145" w:rsidRPr="00F64145" w:rsidRDefault="00F64145" w:rsidP="00F641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64145">
              <w:rPr>
                <w:rFonts w:ascii="Times New Roman" w:hAnsi="Times New Roman" w:cs="Times New Roman"/>
                <w:szCs w:val="20"/>
              </w:rPr>
              <w:t>Zapoznać studentów z podstawowymi źródłami dochodów oraz przychodów samorządowych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6414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4145" w:rsidRPr="00B1560E" w:rsidRDefault="00F6414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145" w:rsidRPr="00F64145" w:rsidRDefault="00F64145" w:rsidP="00F641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64145">
              <w:rPr>
                <w:rFonts w:ascii="Times New Roman" w:hAnsi="Times New Roman" w:cs="Times New Roman"/>
                <w:szCs w:val="20"/>
              </w:rPr>
              <w:t>Wyposażyć studentów w wiedzę z zakresu zasad prowadzenia gospodarki finansowej przez JST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F6414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4145" w:rsidRDefault="00F6414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145" w:rsidRPr="00F64145" w:rsidRDefault="00F64145" w:rsidP="00F641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64145">
              <w:rPr>
                <w:rFonts w:ascii="Times New Roman" w:hAnsi="Times New Roman" w:cs="Times New Roman"/>
                <w:szCs w:val="20"/>
              </w:rPr>
              <w:t xml:space="preserve"> Wykształcenie u studentów zdolności do dokonania analizy budżetów oraz wieloletnich planów finansowych JST.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77D" w:rsidRPr="00AF477D" w:rsidRDefault="00AF477D" w:rsidP="00AF477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Uchwała budżetowa i jej konstrukcja.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Procedura tworzenia budżetu jednostek samorządu terytorialnego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Wieloletnia prognoza finansowania, jako forma „ wytyczna” konstrukcji budżetu jednostki samorządu terytorialnego.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Procedura wykonywania uchwały budżetowej jednostek samorządu terytorialnego.</w:t>
            </w:r>
          </w:p>
          <w:p w:rsidR="009D629F" w:rsidRPr="00FF0240" w:rsidRDefault="00AF477D" w:rsidP="00AF477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Wybrane elementy sprawozdawczości jednostek samorządu terytorialnego oraz autoryzacja wykonania budżetu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77D" w:rsidRPr="00AF477D" w:rsidRDefault="00AF477D" w:rsidP="00AF477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wstępna sprawozdań JST.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wskaźnikowa pozycji i atrakcyjności JST.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Budowanie budżetu zadaniowego.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Wieloletnie prognozy finansowe.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Planowanie inwestycji w oparciu o środki europejskie.</w:t>
            </w:r>
          </w:p>
          <w:p w:rsidR="00AF477D" w:rsidRPr="00AF477D" w:rsidRDefault="00AF477D" w:rsidP="00AF477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Audyt i kontrola zarządcza w JST. </w:t>
            </w:r>
          </w:p>
          <w:p w:rsidR="007152AF" w:rsidRPr="007152AF" w:rsidRDefault="00AF477D" w:rsidP="00AF477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AF477D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875D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5DE" w:rsidRPr="00F12DCA" w:rsidRDefault="00E875DE" w:rsidP="00F12D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posiada wiedzę na temat </w:t>
            </w:r>
            <w:r w:rsidRPr="00F64145">
              <w:rPr>
                <w:rFonts w:ascii="Times New Roman" w:hAnsi="Times New Roman" w:cs="Times New Roman"/>
                <w:szCs w:val="20"/>
              </w:rPr>
              <w:t>definicji i metod konstrukcji budżetu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Default="00E875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  <w:p w:rsidR="00E875DE" w:rsidRPr="001D18F7" w:rsidRDefault="00E875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E875DE" w:rsidRPr="001D18F7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E875D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5DE" w:rsidRPr="00F12DCA" w:rsidRDefault="00E875DE" w:rsidP="00F641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>Student posiada wiedz</w:t>
            </w:r>
            <w:r>
              <w:rPr>
                <w:rFonts w:ascii="Times New Roman" w:hAnsi="Times New Roman" w:cs="Times New Roman"/>
                <w:szCs w:val="20"/>
              </w:rPr>
              <w:t xml:space="preserve">ę na temat zadań i kompetencji  samorządów lokalnych w zakresie tworzenia i realizacji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budżetu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C7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E875DE" w:rsidRPr="001D18F7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E875D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75DE" w:rsidRPr="00F12DCA" w:rsidRDefault="00E875DE" w:rsidP="00F641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ma wiedzę o </w:t>
            </w:r>
            <w:r w:rsidRPr="00F64145">
              <w:rPr>
                <w:rFonts w:ascii="Times New Roman" w:hAnsi="Times New Roman" w:cs="Times New Roman"/>
                <w:szCs w:val="20"/>
              </w:rPr>
              <w:t>zasad</w:t>
            </w:r>
            <w:r>
              <w:rPr>
                <w:rFonts w:ascii="Times New Roman" w:hAnsi="Times New Roman" w:cs="Times New Roman"/>
                <w:szCs w:val="20"/>
              </w:rPr>
              <w:t>ach</w:t>
            </w:r>
            <w:r w:rsidRPr="00F64145">
              <w:rPr>
                <w:rFonts w:ascii="Times New Roman" w:hAnsi="Times New Roman" w:cs="Times New Roman"/>
                <w:szCs w:val="20"/>
              </w:rPr>
              <w:t xml:space="preserve"> budżetowych i zakres</w:t>
            </w:r>
            <w:r>
              <w:rPr>
                <w:rFonts w:ascii="Times New Roman" w:hAnsi="Times New Roman" w:cs="Times New Roman"/>
                <w:szCs w:val="20"/>
              </w:rPr>
              <w:t>ie budżetu w istocie funkcjonowania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C7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Pr="001D18F7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DE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E875DE" w:rsidRPr="001D18F7" w:rsidRDefault="00E875D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C75595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C75595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3746EC" w:rsidRDefault="00C75595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46EC">
              <w:rPr>
                <w:rFonts w:ascii="Times New Roman" w:hAnsi="Times New Roman" w:cs="Times New Roman"/>
                <w:szCs w:val="20"/>
              </w:rPr>
              <w:t xml:space="preserve">Student posiada umiejętność rozumienia procesów i zjawisk społecznych w zakresie </w:t>
            </w:r>
            <w:r w:rsidRPr="008F0D3B">
              <w:rPr>
                <w:rFonts w:ascii="Times New Roman" w:hAnsi="Times New Roman" w:cs="Times New Roman"/>
                <w:szCs w:val="20"/>
              </w:rPr>
              <w:t>oceny budżetu,</w:t>
            </w:r>
            <w:r>
              <w:rPr>
                <w:rFonts w:ascii="Times New Roman" w:hAnsi="Times New Roman" w:cs="Times New Roman"/>
                <w:szCs w:val="20"/>
              </w:rPr>
              <w:t xml:space="preserve"> oraz</w:t>
            </w:r>
            <w:r w:rsidRPr="008F0D3B">
              <w:rPr>
                <w:rFonts w:ascii="Times New Roman" w:hAnsi="Times New Roman" w:cs="Times New Roman"/>
                <w:szCs w:val="20"/>
              </w:rPr>
              <w:t xml:space="preserve"> jego stopnia wykonania.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5595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3746EC" w:rsidRDefault="00C75595" w:rsidP="003746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46EC">
              <w:rPr>
                <w:rFonts w:ascii="Times New Roman" w:hAnsi="Times New Roman" w:cs="Times New Roman"/>
                <w:szCs w:val="20"/>
              </w:rPr>
              <w:t xml:space="preserve">Student potrafi określić cechy </w:t>
            </w:r>
            <w:r w:rsidRPr="008F0D3B">
              <w:rPr>
                <w:rFonts w:ascii="Times New Roman" w:hAnsi="Times New Roman" w:cs="Times New Roman"/>
                <w:szCs w:val="20"/>
              </w:rPr>
              <w:t>planowania budżetowego.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5595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9F2034" w:rsidRDefault="00C75595" w:rsidP="008F0D3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 xml:space="preserve">Student potrafi </w:t>
            </w:r>
            <w:r>
              <w:rPr>
                <w:rFonts w:ascii="Times New Roman" w:hAnsi="Times New Roman" w:cs="Times New Roman"/>
                <w:szCs w:val="20"/>
              </w:rPr>
              <w:t>poszerzając swoją wiedzę analizować wieloletnie plany finansowania i realizowania zadań z zakresu budżetowania przez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5595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C75595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5595" w:rsidRPr="003746EC" w:rsidRDefault="00C75595" w:rsidP="008F0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zdolny do p</w:t>
            </w:r>
            <w:r w:rsidRPr="008F0D3B">
              <w:rPr>
                <w:rFonts w:ascii="Times New Roman" w:hAnsi="Times New Roman" w:cs="Times New Roman"/>
              </w:rPr>
              <w:t>ełnieni</w:t>
            </w:r>
            <w:r>
              <w:rPr>
                <w:rFonts w:ascii="Times New Roman" w:hAnsi="Times New Roman" w:cs="Times New Roman"/>
              </w:rPr>
              <w:t>a</w:t>
            </w:r>
            <w:r w:rsidRPr="008F0D3B">
              <w:rPr>
                <w:rFonts w:ascii="Times New Roman" w:hAnsi="Times New Roman" w:cs="Times New Roman"/>
              </w:rPr>
              <w:t xml:space="preserve"> funkcji kontroli społecznej JST poprzez ocenę funkcjonowania wybranych jednostek samorządu terytorialnego </w:t>
            </w:r>
            <w:r>
              <w:rPr>
                <w:rFonts w:ascii="Times New Roman" w:hAnsi="Times New Roman" w:cs="Times New Roman"/>
              </w:rPr>
              <w:t>i</w:t>
            </w:r>
            <w:r w:rsidRPr="008F0D3B">
              <w:rPr>
                <w:rFonts w:ascii="Times New Roman" w:hAnsi="Times New Roman" w:cs="Times New Roman"/>
              </w:rPr>
              <w:t xml:space="preserve"> ocenę ich budżetu.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C7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5595" w:rsidRPr="001D18F7" w:rsidRDefault="00C7559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FC4D43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D43" w:rsidRPr="001D18F7" w:rsidRDefault="00FC4D43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D43" w:rsidRPr="003746EC" w:rsidRDefault="00FC4D43" w:rsidP="00AF4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jest zdolny do wyznaczania priorytetów w zakresie zadań i ich realizacji, z uwzględnieniem potrzeb i interesu społecznego.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D43" w:rsidRPr="001D18F7" w:rsidRDefault="00FC4D43" w:rsidP="00FC4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D43" w:rsidRPr="001D18F7" w:rsidRDefault="00FC4D4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D43" w:rsidRPr="001D18F7" w:rsidRDefault="00FC4D43" w:rsidP="00FC4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F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AF477D">
              <w:rPr>
                <w:rFonts w:ascii="Times New Roman" w:eastAsia="Calibri" w:hAnsi="Times New Roman" w:cs="Times New Roman"/>
                <w:szCs w:val="18"/>
              </w:rPr>
              <w:t>budżetu JST.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F477D">
              <w:rPr>
                <w:rFonts w:ascii="Times New Roman" w:eastAsia="Calibri" w:hAnsi="Times New Roman" w:cs="Times New Roman"/>
                <w:szCs w:val="18"/>
              </w:rPr>
              <w:t>budżetu JST.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AF477D">
              <w:rPr>
                <w:rFonts w:ascii="Times New Roman" w:eastAsia="Calibri" w:hAnsi="Times New Roman" w:cs="Times New Roman"/>
                <w:szCs w:val="18"/>
              </w:rPr>
              <w:t>budżetu JST.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AF477D">
              <w:rPr>
                <w:rFonts w:ascii="Times New Roman" w:eastAsia="Calibri" w:hAnsi="Times New Roman" w:cs="Times New Roman"/>
                <w:szCs w:val="18"/>
              </w:rPr>
              <w:t>budżetu JST.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AF477D">
              <w:rPr>
                <w:rFonts w:ascii="Times New Roman" w:eastAsia="Calibri" w:hAnsi="Times New Roman" w:cs="Times New Roman"/>
                <w:szCs w:val="18"/>
              </w:rPr>
              <w:t>budżetu JST.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F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</w:t>
            </w:r>
            <w:r w:rsidR="00AF477D">
              <w:rPr>
                <w:rFonts w:ascii="Times New Roman" w:eastAsia="Calibri" w:hAnsi="Times New Roman" w:cs="Times New Roman"/>
                <w:szCs w:val="18"/>
              </w:rPr>
              <w:t>budżetem JST.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zaliczenia ćwiczeń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BE68E4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BE68E4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bookmarkStart w:id="0" w:name="_GoBack"/>
            <w:bookmarkEnd w:id="0"/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1E0CD5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1E0CD5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 – 3 pytania otwarte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1E0CD5" w:rsidRPr="00B23FB7" w:rsidTr="00445C54">
        <w:tc>
          <w:tcPr>
            <w:tcW w:w="1209" w:type="dxa"/>
            <w:vAlign w:val="center"/>
          </w:tcPr>
          <w:p w:rsidR="001E0CD5" w:rsidRPr="00B23FB7" w:rsidRDefault="001E0CD5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445C54">
        <w:tc>
          <w:tcPr>
            <w:tcW w:w="1209" w:type="dxa"/>
            <w:vAlign w:val="center"/>
          </w:tcPr>
          <w:p w:rsidR="001E0CD5" w:rsidRPr="00B23FB7" w:rsidRDefault="001E0CD5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2D0441">
        <w:trPr>
          <w:trHeight w:val="344"/>
        </w:trPr>
        <w:tc>
          <w:tcPr>
            <w:tcW w:w="1209" w:type="dxa"/>
            <w:vAlign w:val="center"/>
          </w:tcPr>
          <w:p w:rsidR="001E0CD5" w:rsidRPr="00B23FB7" w:rsidRDefault="001E0CD5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445C54">
        <w:tc>
          <w:tcPr>
            <w:tcW w:w="1209" w:type="dxa"/>
            <w:vAlign w:val="center"/>
          </w:tcPr>
          <w:p w:rsidR="001E0CD5" w:rsidRPr="00B23FB7" w:rsidRDefault="001E0CD5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1E0CD5" w:rsidRPr="00B23FB7" w:rsidRDefault="001E0CD5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445C54">
        <w:tc>
          <w:tcPr>
            <w:tcW w:w="1209" w:type="dxa"/>
            <w:vAlign w:val="center"/>
          </w:tcPr>
          <w:p w:rsidR="001E0CD5" w:rsidRPr="00B23FB7" w:rsidRDefault="001E0CD5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1E0CD5" w:rsidRPr="00B23FB7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1E0CD5" w:rsidRPr="00B23FB7" w:rsidRDefault="001E0CD5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1E0CD5" w:rsidRPr="00B23FB7" w:rsidRDefault="001E0CD5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445C54">
        <w:tc>
          <w:tcPr>
            <w:tcW w:w="1209" w:type="dxa"/>
            <w:vAlign w:val="center"/>
          </w:tcPr>
          <w:p w:rsidR="001E0CD5" w:rsidRPr="00B23FB7" w:rsidRDefault="001E0CD5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1E0CD5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1E0CD5" w:rsidRDefault="001E0CD5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1E0CD5" w:rsidRPr="00B23FB7" w:rsidRDefault="001E0CD5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3613BD">
        <w:trPr>
          <w:trHeight w:val="425"/>
        </w:trPr>
        <w:tc>
          <w:tcPr>
            <w:tcW w:w="1209" w:type="dxa"/>
            <w:vAlign w:val="center"/>
          </w:tcPr>
          <w:p w:rsidR="001E0CD5" w:rsidRPr="00936E7B" w:rsidRDefault="001E0CD5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1E0CD5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1E0CD5" w:rsidRDefault="001E0CD5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1E0CD5" w:rsidRPr="00B23FB7" w:rsidRDefault="001E0CD5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CD5" w:rsidRPr="00B23FB7" w:rsidTr="003613BD">
        <w:trPr>
          <w:trHeight w:val="425"/>
        </w:trPr>
        <w:tc>
          <w:tcPr>
            <w:tcW w:w="1209" w:type="dxa"/>
            <w:vAlign w:val="center"/>
          </w:tcPr>
          <w:p w:rsidR="001E0CD5" w:rsidRPr="00936E7B" w:rsidRDefault="001E0CD5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1E0CD5" w:rsidRDefault="001E0CD5" w:rsidP="005D6F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1E0CD5" w:rsidRDefault="001E0CD5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CD5" w:rsidRPr="00B23FB7" w:rsidRDefault="001E0CD5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1E0CD5" w:rsidRPr="00B23FB7" w:rsidRDefault="001E0CD5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1E0CD5" w:rsidRPr="00B23FB7" w:rsidRDefault="001E0CD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1E0CD5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0CD5" w:rsidRPr="00B1560E" w:rsidRDefault="001E0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0CD5" w:rsidRPr="00B1560E" w:rsidRDefault="001E0CD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0CD5" w:rsidRPr="00B1560E" w:rsidRDefault="001E0CD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1E0CD5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0CD5" w:rsidRPr="00B1560E" w:rsidRDefault="001E0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E0CD5" w:rsidRPr="00B1560E" w:rsidRDefault="001E0CD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E0CD5" w:rsidRPr="00B1560E" w:rsidRDefault="001E0CD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E98"/>
    <w:multiLevelType w:val="hybridMultilevel"/>
    <w:tmpl w:val="D07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F849A5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132B2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6"/>
  </w:num>
  <w:num w:numId="5">
    <w:abstractNumId w:val="29"/>
  </w:num>
  <w:num w:numId="6">
    <w:abstractNumId w:val="0"/>
  </w:num>
  <w:num w:numId="7">
    <w:abstractNumId w:val="30"/>
  </w:num>
  <w:num w:numId="8">
    <w:abstractNumId w:val="3"/>
  </w:num>
  <w:num w:numId="9">
    <w:abstractNumId w:val="10"/>
  </w:num>
  <w:num w:numId="10">
    <w:abstractNumId w:val="24"/>
  </w:num>
  <w:num w:numId="11">
    <w:abstractNumId w:val="16"/>
  </w:num>
  <w:num w:numId="12">
    <w:abstractNumId w:val="33"/>
  </w:num>
  <w:num w:numId="13">
    <w:abstractNumId w:val="28"/>
  </w:num>
  <w:num w:numId="14">
    <w:abstractNumId w:val="11"/>
  </w:num>
  <w:num w:numId="15">
    <w:abstractNumId w:val="9"/>
  </w:num>
  <w:num w:numId="16">
    <w:abstractNumId w:val="25"/>
  </w:num>
  <w:num w:numId="17">
    <w:abstractNumId w:val="17"/>
  </w:num>
  <w:num w:numId="18">
    <w:abstractNumId w:val="31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21"/>
  </w:num>
  <w:num w:numId="23">
    <w:abstractNumId w:val="15"/>
  </w:num>
  <w:num w:numId="24">
    <w:abstractNumId w:val="7"/>
  </w:num>
  <w:num w:numId="25">
    <w:abstractNumId w:val="18"/>
  </w:num>
  <w:num w:numId="26">
    <w:abstractNumId w:val="23"/>
  </w:num>
  <w:num w:numId="27">
    <w:abstractNumId w:val="2"/>
  </w:num>
  <w:num w:numId="28">
    <w:abstractNumId w:val="34"/>
  </w:num>
  <w:num w:numId="29">
    <w:abstractNumId w:val="32"/>
  </w:num>
  <w:num w:numId="30">
    <w:abstractNumId w:val="14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1E0CD5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746EC"/>
    <w:rsid w:val="00386B88"/>
    <w:rsid w:val="003913A3"/>
    <w:rsid w:val="003E0F50"/>
    <w:rsid w:val="003E25A9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320A"/>
    <w:rsid w:val="005F4F40"/>
    <w:rsid w:val="00613899"/>
    <w:rsid w:val="0065012D"/>
    <w:rsid w:val="006549DE"/>
    <w:rsid w:val="00662E69"/>
    <w:rsid w:val="00664D97"/>
    <w:rsid w:val="006F1E66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35B26"/>
    <w:rsid w:val="0084074D"/>
    <w:rsid w:val="008460B6"/>
    <w:rsid w:val="008561F3"/>
    <w:rsid w:val="008600D6"/>
    <w:rsid w:val="008674ED"/>
    <w:rsid w:val="00871AB7"/>
    <w:rsid w:val="00897224"/>
    <w:rsid w:val="008A2C76"/>
    <w:rsid w:val="008B38F6"/>
    <w:rsid w:val="008F0D3B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2034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56B53"/>
    <w:rsid w:val="00A60F4F"/>
    <w:rsid w:val="00A64397"/>
    <w:rsid w:val="00A64BA3"/>
    <w:rsid w:val="00A770A0"/>
    <w:rsid w:val="00A928C2"/>
    <w:rsid w:val="00AB7CDE"/>
    <w:rsid w:val="00AE0304"/>
    <w:rsid w:val="00AF477D"/>
    <w:rsid w:val="00B038F5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BE68E4"/>
    <w:rsid w:val="00C1686B"/>
    <w:rsid w:val="00C16ED0"/>
    <w:rsid w:val="00C22968"/>
    <w:rsid w:val="00C54671"/>
    <w:rsid w:val="00C57808"/>
    <w:rsid w:val="00C75595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02755"/>
    <w:rsid w:val="00E25315"/>
    <w:rsid w:val="00E32D3C"/>
    <w:rsid w:val="00E33647"/>
    <w:rsid w:val="00E52781"/>
    <w:rsid w:val="00E61DA3"/>
    <w:rsid w:val="00E75EF6"/>
    <w:rsid w:val="00E875DE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12DCA"/>
    <w:rsid w:val="00F31024"/>
    <w:rsid w:val="00F45F92"/>
    <w:rsid w:val="00F60EF6"/>
    <w:rsid w:val="00F64145"/>
    <w:rsid w:val="00F824A7"/>
    <w:rsid w:val="00F93C38"/>
    <w:rsid w:val="00FB1B50"/>
    <w:rsid w:val="00FC1054"/>
    <w:rsid w:val="00FC4D43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2023-11-26T09:20:00Z</dcterms:created>
  <dcterms:modified xsi:type="dcterms:W3CDTF">2023-11-27T22:05:00Z</dcterms:modified>
</cp:coreProperties>
</file>