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7537FD79" wp14:editId="0003F463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C31CF5" wp14:editId="023AB62E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A22E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A22E06">
              <w:rPr>
                <w:rFonts w:ascii="Times New Roman" w:hAnsi="Times New Roman" w:cs="Times New Roman"/>
                <w:b/>
              </w:rPr>
              <w:t>6</w:t>
            </w:r>
            <w:r w:rsidR="00205C00">
              <w:rPr>
                <w:rFonts w:ascii="Times New Roman" w:hAnsi="Times New Roman" w:cs="Times New Roman"/>
                <w:b/>
              </w:rPr>
              <w:t>04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A22E06" w:rsidRDefault="00A22E06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A22E06">
              <w:rPr>
                <w:rFonts w:ascii="Times New Roman" w:eastAsia="Calibri" w:hAnsi="Times New Roman" w:cs="Times New Roman"/>
                <w:b/>
                <w:caps/>
              </w:rPr>
              <w:t>Internationale finantzen</w:t>
            </w:r>
            <w:r>
              <w:rPr>
                <w:rFonts w:ascii="Times New Roman" w:eastAsia="Calibri" w:hAnsi="Times New Roman" w:cs="Times New Roman"/>
                <w:b/>
                <w:caps/>
              </w:rPr>
              <w:t xml:space="preserve"> – ZAJĘCIA W JEZYKU NIEMIECKIM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A2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22E06">
              <w:rPr>
                <w:rFonts w:ascii="Times New Roman" w:eastAsia="Calibri" w:hAnsi="Times New Roman" w:cs="Times New Roman"/>
              </w:rPr>
              <w:t xml:space="preserve">do wyboru dla wszystkich 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22E06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niemiecki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072177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szósty</w:t>
            </w:r>
          </w:p>
        </w:tc>
      </w:tr>
      <w:tr w:rsidR="00A770A0" w:rsidRPr="00B23FB7" w:rsidTr="00F173A4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A22E06" w:rsidP="00F1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205C0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205C0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2E0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22E0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A22E06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2E06" w:rsidRPr="00B23FB7" w:rsidRDefault="00A22E06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2E06" w:rsidRPr="00A22E06" w:rsidRDefault="00A22E06" w:rsidP="00A22E06">
            <w:pPr>
              <w:pStyle w:val="Opiswieloliniowy"/>
              <w:spacing w:after="0"/>
              <w:jc w:val="center"/>
              <w:rPr>
                <w:rFonts w:ascii="Times New Roman" w:hAnsi="Times New Roman"/>
              </w:rPr>
            </w:pPr>
            <w:r w:rsidRPr="00A22E06">
              <w:rPr>
                <w:rFonts w:ascii="Times New Roman" w:hAnsi="Times New Roman"/>
              </w:rPr>
              <w:t>wykład/ ćwiczenia</w:t>
            </w:r>
          </w:p>
        </w:tc>
      </w:tr>
      <w:tr w:rsidR="00A22E06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2E06" w:rsidRPr="00B23FB7" w:rsidRDefault="00A22E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2E06" w:rsidRPr="00A22E06" w:rsidRDefault="00A22E06" w:rsidP="00A22E06">
            <w:pPr>
              <w:pStyle w:val="Opiswieloliniowy"/>
              <w:spacing w:after="0"/>
              <w:jc w:val="center"/>
              <w:rPr>
                <w:rFonts w:ascii="Times New Roman" w:hAnsi="Times New Roman"/>
              </w:rPr>
            </w:pPr>
            <w:r w:rsidRPr="00A22E06">
              <w:rPr>
                <w:rFonts w:ascii="Times New Roman" w:hAnsi="Times New Roman"/>
              </w:rPr>
              <w:t>wykład: zaliczenie pisemne</w:t>
            </w:r>
          </w:p>
          <w:p w:rsidR="00A22E06" w:rsidRPr="00A22E06" w:rsidRDefault="00072177" w:rsidP="00072177">
            <w:pPr>
              <w:pStyle w:val="Opiswieloliniowy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ćwiczenia: </w:t>
            </w:r>
            <w:r w:rsidR="004F5504" w:rsidRPr="004F5504">
              <w:rPr>
                <w:rFonts w:ascii="Times New Roman" w:hAnsi="Times New Roman"/>
              </w:rPr>
              <w:t xml:space="preserve">kolokwium pisemne </w:t>
            </w:r>
            <w:r w:rsidR="004F5504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>zaliczenie ustne</w:t>
            </w:r>
          </w:p>
        </w:tc>
      </w:tr>
      <w:tr w:rsidR="00A22E06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2E06" w:rsidRPr="00B23FB7" w:rsidRDefault="00A22E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2E06" w:rsidRPr="00A22E06" w:rsidRDefault="00A22E06" w:rsidP="00A22E06">
            <w:pPr>
              <w:pStyle w:val="Opiswieloliniowy"/>
              <w:spacing w:after="0"/>
              <w:jc w:val="center"/>
              <w:rPr>
                <w:rFonts w:ascii="Times New Roman" w:hAnsi="Times New Roman"/>
              </w:rPr>
            </w:pPr>
            <w:r w:rsidRPr="00A22E06">
              <w:rPr>
                <w:rFonts w:ascii="Times New Roman" w:hAnsi="Times New Roman"/>
              </w:rPr>
              <w:t>wykład – wykład konwersatoryjny, wykład na zasadzie dyskusji</w:t>
            </w:r>
          </w:p>
          <w:p w:rsidR="00A22E06" w:rsidRPr="00A22E06" w:rsidRDefault="00A22E06" w:rsidP="00A22E06">
            <w:pPr>
              <w:pStyle w:val="Opiswieloliniowy"/>
              <w:spacing w:after="0"/>
              <w:jc w:val="center"/>
              <w:rPr>
                <w:rFonts w:ascii="Times New Roman" w:hAnsi="Times New Roman"/>
              </w:rPr>
            </w:pPr>
            <w:r w:rsidRPr="00A22E06">
              <w:rPr>
                <w:rFonts w:ascii="Times New Roman" w:hAnsi="Times New Roman"/>
              </w:rPr>
              <w:t>ćwiczenia – ćwiczenia w j. obcym, dyskusja, prezentacje/ wystąpienia w j. obcym</w:t>
            </w:r>
          </w:p>
        </w:tc>
      </w:tr>
    </w:tbl>
    <w:p w:rsidR="00072177" w:rsidRDefault="00072177"/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9"/>
        <w:gridCol w:w="6489"/>
      </w:tblGrid>
      <w:tr w:rsidR="00A770A0" w:rsidRPr="00B23FB7" w:rsidTr="00A64BA3">
        <w:trPr>
          <w:jc w:val="center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A22E06" w:rsidRPr="00B23FB7" w:rsidTr="00A64BA3">
        <w:trPr>
          <w:jc w:val="center"/>
        </w:trPr>
        <w:tc>
          <w:tcPr>
            <w:tcW w:w="3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2E06" w:rsidRPr="00B23FB7" w:rsidRDefault="00A22E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2E06" w:rsidRPr="00A22E06" w:rsidRDefault="00A22E06" w:rsidP="00A22E06">
            <w:pPr>
              <w:pStyle w:val="Opiswieloliniowy"/>
              <w:numPr>
                <w:ilvl w:val="0"/>
                <w:numId w:val="23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A22E06">
              <w:rPr>
                <w:rFonts w:ascii="Times New Roman" w:hAnsi="Times New Roman"/>
              </w:rPr>
              <w:t>Markiewicz</w:t>
            </w:r>
            <w:r w:rsidR="00FF52B2" w:rsidRPr="00A22E06">
              <w:rPr>
                <w:rFonts w:ascii="Times New Roman" w:hAnsi="Times New Roman"/>
              </w:rPr>
              <w:t xml:space="preserve"> M.</w:t>
            </w:r>
            <w:r w:rsidRPr="00A22E06">
              <w:rPr>
                <w:rFonts w:ascii="Times New Roman" w:hAnsi="Times New Roman"/>
              </w:rPr>
              <w:t xml:space="preserve">, Mrzygłód </w:t>
            </w:r>
            <w:r w:rsidR="00FF52B2" w:rsidRPr="00A22E06">
              <w:rPr>
                <w:rFonts w:ascii="Times New Roman" w:hAnsi="Times New Roman"/>
              </w:rPr>
              <w:t xml:space="preserve">U. </w:t>
            </w:r>
            <w:r w:rsidRPr="00A22E06">
              <w:rPr>
                <w:rFonts w:ascii="Times New Roman" w:hAnsi="Times New Roman"/>
              </w:rPr>
              <w:t xml:space="preserve">(red.), </w:t>
            </w:r>
            <w:r w:rsidRPr="00A22E06">
              <w:rPr>
                <w:rFonts w:ascii="Times New Roman" w:hAnsi="Times New Roman"/>
                <w:i/>
              </w:rPr>
              <w:t>Finanse międzynarodowe. Wybrane problemy</w:t>
            </w:r>
            <w:r w:rsidRPr="00A22E06">
              <w:rPr>
                <w:rFonts w:ascii="Times New Roman" w:hAnsi="Times New Roman"/>
              </w:rPr>
              <w:t>, 2015</w:t>
            </w:r>
            <w:r w:rsidR="001D2AFC">
              <w:rPr>
                <w:rFonts w:ascii="Times New Roman" w:hAnsi="Times New Roman"/>
              </w:rPr>
              <w:t>.</w:t>
            </w:r>
          </w:p>
          <w:p w:rsidR="00A22E06" w:rsidRPr="00A22E06" w:rsidRDefault="00A22E06" w:rsidP="001D2AFC">
            <w:pPr>
              <w:pStyle w:val="Opiswieloliniowy"/>
              <w:numPr>
                <w:ilvl w:val="0"/>
                <w:numId w:val="23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A22E06">
              <w:rPr>
                <w:rFonts w:ascii="Times New Roman" w:hAnsi="Times New Roman"/>
                <w:color w:val="000000"/>
              </w:rPr>
              <w:t>Najlepszy</w:t>
            </w:r>
            <w:r w:rsidR="00FF52B2" w:rsidRPr="00A22E06">
              <w:rPr>
                <w:rFonts w:ascii="Times New Roman" w:hAnsi="Times New Roman"/>
                <w:color w:val="000000"/>
              </w:rPr>
              <w:t xml:space="preserve"> E.</w:t>
            </w:r>
            <w:r w:rsidRPr="00A22E06">
              <w:rPr>
                <w:rFonts w:ascii="Times New Roman" w:hAnsi="Times New Roman"/>
                <w:color w:val="000000"/>
              </w:rPr>
              <w:t xml:space="preserve">, </w:t>
            </w:r>
            <w:r w:rsidRPr="00A22E06">
              <w:rPr>
                <w:rFonts w:ascii="Times New Roman" w:hAnsi="Times New Roman"/>
                <w:i/>
                <w:color w:val="000000"/>
              </w:rPr>
              <w:t>Zarządzanie finansami międzynarodowymi. Zadania z rozwiązaniami 1</w:t>
            </w:r>
            <w:r w:rsidRPr="00A22E06">
              <w:rPr>
                <w:rFonts w:ascii="Times New Roman" w:hAnsi="Times New Roman"/>
                <w:color w:val="000000"/>
              </w:rPr>
              <w:t>, 2001</w:t>
            </w:r>
            <w:r w:rsidR="001D2AF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22E06" w:rsidRPr="00B23FB7" w:rsidTr="00A64BA3">
        <w:trPr>
          <w:jc w:val="center"/>
        </w:trPr>
        <w:tc>
          <w:tcPr>
            <w:tcW w:w="3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2E06" w:rsidRPr="00B23FB7" w:rsidRDefault="00A22E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2E06" w:rsidRPr="00A22E06" w:rsidRDefault="00A22E06" w:rsidP="00A22E06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rPr>
                <w:color w:val="000000"/>
                <w:sz w:val="22"/>
                <w:szCs w:val="22"/>
              </w:rPr>
            </w:pPr>
            <w:proofErr w:type="spellStart"/>
            <w:r w:rsidRPr="00A22E06">
              <w:rPr>
                <w:color w:val="000000"/>
                <w:sz w:val="22"/>
                <w:szCs w:val="22"/>
                <w:lang w:val="en-US"/>
              </w:rPr>
              <w:t>Kienzler</w:t>
            </w:r>
            <w:proofErr w:type="spellEnd"/>
            <w:r w:rsidR="001D2AFC" w:rsidRPr="00A22E06">
              <w:rPr>
                <w:color w:val="000000"/>
                <w:sz w:val="22"/>
                <w:szCs w:val="22"/>
                <w:lang w:val="en-US"/>
              </w:rPr>
              <w:t xml:space="preserve"> I.</w:t>
            </w:r>
            <w:r w:rsidRPr="00A22E06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D2AFC">
              <w:rPr>
                <w:i/>
                <w:color w:val="000000"/>
                <w:sz w:val="22"/>
                <w:szCs w:val="22"/>
                <w:lang w:val="en-US"/>
              </w:rPr>
              <w:t>Worterbuch</w:t>
            </w:r>
            <w:proofErr w:type="spellEnd"/>
            <w:r w:rsidRPr="001D2AFC">
              <w:rPr>
                <w:i/>
                <w:color w:val="000000"/>
                <w:sz w:val="22"/>
                <w:szCs w:val="22"/>
                <w:lang w:val="en-US"/>
              </w:rPr>
              <w:t xml:space="preserve"> der </w:t>
            </w:r>
            <w:proofErr w:type="spellStart"/>
            <w:r w:rsidRPr="001D2AFC">
              <w:rPr>
                <w:i/>
                <w:color w:val="000000"/>
                <w:sz w:val="22"/>
                <w:szCs w:val="22"/>
                <w:lang w:val="en-US"/>
              </w:rPr>
              <w:t>Wirtschaftssprache</w:t>
            </w:r>
            <w:proofErr w:type="spellEnd"/>
            <w:r w:rsidRPr="001D2AFC">
              <w:rPr>
                <w:i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2AFC">
              <w:rPr>
                <w:i/>
                <w:color w:val="000000"/>
                <w:sz w:val="22"/>
                <w:szCs w:val="22"/>
              </w:rPr>
              <w:t>Deutsch-Polnisch</w:t>
            </w:r>
            <w:proofErr w:type="spellEnd"/>
            <w:r w:rsidRPr="001D2AFC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D2AFC">
              <w:rPr>
                <w:i/>
                <w:color w:val="000000"/>
                <w:sz w:val="22"/>
                <w:szCs w:val="22"/>
              </w:rPr>
              <w:t>Polnisch-Deutsch</w:t>
            </w:r>
            <w:proofErr w:type="spellEnd"/>
            <w:r w:rsidRPr="00A22E06">
              <w:rPr>
                <w:color w:val="000000"/>
                <w:sz w:val="22"/>
                <w:szCs w:val="22"/>
              </w:rPr>
              <w:t>, 2007</w:t>
            </w:r>
            <w:r w:rsidR="001D2AFC">
              <w:rPr>
                <w:color w:val="000000"/>
                <w:sz w:val="22"/>
                <w:szCs w:val="22"/>
              </w:rPr>
              <w:t>.</w:t>
            </w:r>
          </w:p>
          <w:p w:rsidR="00A22E06" w:rsidRPr="00A22E06" w:rsidRDefault="00A22E06" w:rsidP="001D2AFC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A22E06">
              <w:rPr>
                <w:color w:val="000000"/>
                <w:sz w:val="22"/>
                <w:szCs w:val="22"/>
                <w:lang w:val="en-US"/>
              </w:rPr>
              <w:t>Strunz</w:t>
            </w:r>
            <w:proofErr w:type="spellEnd"/>
            <w:r w:rsidR="001D2AFC" w:rsidRPr="00A22E06">
              <w:rPr>
                <w:color w:val="000000"/>
                <w:sz w:val="22"/>
                <w:szCs w:val="22"/>
                <w:lang w:val="en-US"/>
              </w:rPr>
              <w:t xml:space="preserve"> H.</w:t>
            </w:r>
            <w:r w:rsidRPr="00A22E06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D2AFC">
              <w:rPr>
                <w:i/>
                <w:color w:val="000000"/>
                <w:sz w:val="22"/>
                <w:szCs w:val="22"/>
                <w:lang w:val="en-US"/>
              </w:rPr>
              <w:t>Internationale</w:t>
            </w:r>
            <w:proofErr w:type="spellEnd"/>
            <w:r w:rsidRPr="001D2AFC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2AFC">
              <w:rPr>
                <w:i/>
                <w:color w:val="000000"/>
                <w:sz w:val="22"/>
                <w:szCs w:val="22"/>
                <w:lang w:val="en-US"/>
              </w:rPr>
              <w:t>Markte</w:t>
            </w:r>
            <w:proofErr w:type="spellEnd"/>
            <w:r w:rsidRPr="001D2AFC">
              <w:rPr>
                <w:i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D2AFC">
              <w:rPr>
                <w:i/>
                <w:color w:val="000000"/>
                <w:sz w:val="22"/>
                <w:szCs w:val="22"/>
                <w:lang w:val="en-US"/>
              </w:rPr>
              <w:t>Oldenbourg</w:t>
            </w:r>
            <w:proofErr w:type="spellEnd"/>
            <w:r w:rsidRPr="001D2AFC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2AFC">
              <w:rPr>
                <w:i/>
                <w:color w:val="000000"/>
                <w:sz w:val="22"/>
                <w:szCs w:val="22"/>
                <w:lang w:val="en-US"/>
              </w:rPr>
              <w:t>Wissensch</w:t>
            </w:r>
            <w:proofErr w:type="spellEnd"/>
            <w:r w:rsidRPr="001D2AFC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 w:rsidRPr="00A22E06">
              <w:rPr>
                <w:color w:val="000000"/>
                <w:sz w:val="22"/>
                <w:szCs w:val="22"/>
                <w:lang w:val="en-US"/>
              </w:rPr>
              <w:t xml:space="preserve"> 2020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1533F1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F1" w:rsidRPr="00B1560E" w:rsidRDefault="001533F1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3F1" w:rsidRPr="001D2AFC" w:rsidRDefault="001D2AFC" w:rsidP="008565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2AFC">
              <w:rPr>
                <w:rFonts w:ascii="Times New Roman" w:hAnsi="Times New Roman" w:cs="Times New Roman"/>
              </w:rPr>
              <w:t>Utrwalenie i poszerzenie zakresu stosowanego słownictwa obcojęzycznego dotyczącego finansów we współczesnej administracji.</w:t>
            </w:r>
          </w:p>
        </w:tc>
      </w:tr>
    </w:tbl>
    <w:p w:rsidR="00EE6BCA" w:rsidRDefault="00EE6BCA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402C35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3913A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AC1AFA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629F" w:rsidRPr="00B1560E" w:rsidRDefault="009D629F" w:rsidP="00856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856544">
              <w:rPr>
                <w:rFonts w:ascii="Times New Roman" w:eastAsia="Calibri" w:hAnsi="Times New Roman" w:cs="Times New Roman"/>
              </w:rPr>
              <w:t>10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2AFC" w:rsidRPr="001D2AFC" w:rsidRDefault="001D2AFC" w:rsidP="001D2AF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D2AFC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Istota finansów międzynarodowych przedsiębiorstw, w tym inwestycje zagraniczne przedsiębiorstw </w:t>
            </w:r>
          </w:p>
          <w:p w:rsidR="009D629F" w:rsidRPr="00440B46" w:rsidRDefault="001D2AFC" w:rsidP="001D2AF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D2AFC">
              <w:rPr>
                <w:rFonts w:ascii="Times New Roman" w:eastAsia="MS Mincho" w:hAnsi="Times New Roman" w:cs="Times New Roman"/>
                <w:szCs w:val="20"/>
                <w:lang w:eastAsia="ja-JP"/>
              </w:rPr>
              <w:t>Podstawy funkcjonowania międzynarodowych rynków finansowych: międzynarodowe otoczenie makroekonomiczne</w:t>
            </w:r>
          </w:p>
        </w:tc>
      </w:tr>
      <w:tr w:rsidR="00FC1054" w:rsidRPr="00B1560E" w:rsidTr="00FC1054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Pr="00B1560E" w:rsidRDefault="00FC1054" w:rsidP="00856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856544">
              <w:rPr>
                <w:rFonts w:ascii="Times New Roman" w:eastAsia="Calibri" w:hAnsi="Times New Roman" w:cs="Times New Roman"/>
              </w:rPr>
              <w:t>10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0B46" w:rsidRPr="0083770E" w:rsidRDefault="001D2AFC" w:rsidP="00837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3770E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Rynek walutowy: pieniądz, waluta obca, dewizy, transakcje walutowe, rynek kasowy i terminowy, technika operacji walutowych (kwotowanie, rozliczanie), szacowanie aprecjacji i deprecjacji walut, kursy krzyżowe, arbitraż walutowy, </w:t>
            </w:r>
            <w:proofErr w:type="spellStart"/>
            <w:r w:rsidRPr="0083770E">
              <w:rPr>
                <w:rFonts w:ascii="Times New Roman" w:eastAsia="MS Mincho" w:hAnsi="Times New Roman" w:cs="Times New Roman"/>
                <w:szCs w:val="20"/>
                <w:lang w:eastAsia="ja-JP"/>
              </w:rPr>
              <w:t>hedging</w:t>
            </w:r>
            <w:proofErr w:type="spellEnd"/>
            <w:r w:rsidRPr="0083770E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walutowy. Współzależność kursów walut, stóp procentowych i stóp inflacji (realny kurs walutowy, parytet siły nabywczej, parytet stóp procentowych). Analiza bilansu płatniczego i jego składników na przykładzie wybranych krajów. Zalety i wady unii monetarnej (np. na przykładzie </w:t>
            </w:r>
            <w:proofErr w:type="spellStart"/>
            <w:r w:rsidRPr="0083770E">
              <w:rPr>
                <w:rFonts w:ascii="Times New Roman" w:eastAsia="MS Mincho" w:hAnsi="Times New Roman" w:cs="Times New Roman"/>
                <w:szCs w:val="20"/>
                <w:lang w:eastAsia="ja-JP"/>
              </w:rPr>
              <w:t>UGiW</w:t>
            </w:r>
            <w:proofErr w:type="spellEnd"/>
            <w:r w:rsidRPr="0083770E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). Analiza kryzysów zadłużenia wybranych krajów (np. krajów PIIGGS). Raje podatkowe. Międzynarodowe oszustwa finansowe. Schemat </w:t>
            </w:r>
            <w:proofErr w:type="spellStart"/>
            <w:r w:rsidRPr="0083770E">
              <w:rPr>
                <w:rFonts w:ascii="Times New Roman" w:eastAsia="MS Mincho" w:hAnsi="Times New Roman" w:cs="Times New Roman"/>
                <w:szCs w:val="20"/>
                <w:lang w:eastAsia="ja-JP"/>
              </w:rPr>
              <w:t>Ponziego</w:t>
            </w:r>
            <w:proofErr w:type="spellEnd"/>
            <w:r w:rsidRPr="0083770E">
              <w:rPr>
                <w:rFonts w:ascii="Times New Roman" w:eastAsia="MS Mincho" w:hAnsi="Times New Roman" w:cs="Times New Roman"/>
                <w:szCs w:val="20"/>
                <w:lang w:eastAsia="ja-JP"/>
              </w:rPr>
              <w:t>. Pranie brudnych pieniędzy, finansowanie terroryzmu, uchylanie się od opodatkowania w skali międzynarodowej.</w:t>
            </w:r>
          </w:p>
        </w:tc>
      </w:tr>
    </w:tbl>
    <w:p w:rsidR="00D10B3A" w:rsidRPr="00B23FB7" w:rsidRDefault="00D10B3A">
      <w:pPr>
        <w:rPr>
          <w:rFonts w:ascii="Times New Roman" w:hAnsi="Times New Roman" w:cs="Times New Roman"/>
        </w:rPr>
      </w:pPr>
    </w:p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5F2732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5F2732" w:rsidTr="00490AF0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5F2732" w:rsidTr="00490AF0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D1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dla</w:t>
            </w:r>
            <w:r w:rsidRPr="005F2732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I st. PRK</w:t>
            </w:r>
            <w:r w:rsidRPr="005F2732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5F2732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II st. PRK</w:t>
            </w:r>
            <w:r w:rsidRPr="005F2732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5F273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E75B08" w:rsidRPr="005F2732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5B08" w:rsidRPr="005F2732" w:rsidRDefault="00E75B08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5B08" w:rsidRPr="00E75B08" w:rsidRDefault="0083770E" w:rsidP="008377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770E">
              <w:rPr>
                <w:rFonts w:ascii="Times New Roman" w:hAnsi="Times New Roman" w:cs="Times New Roman"/>
              </w:rPr>
              <w:t>zna i w zaawansow</w:t>
            </w:r>
            <w:r>
              <w:rPr>
                <w:rFonts w:ascii="Times New Roman" w:hAnsi="Times New Roman" w:cs="Times New Roman"/>
              </w:rPr>
              <w:t xml:space="preserve">anym stopniu rozumie kategorie </w:t>
            </w:r>
            <w:r w:rsidRPr="0083770E">
              <w:rPr>
                <w:rFonts w:ascii="Times New Roman" w:hAnsi="Times New Roman" w:cs="Times New Roman"/>
              </w:rPr>
              <w:t>i procesy makroekonomiczne, zna i rozumie podstawową i zaawansowaną terminologię używaną w finansach międzynarodowych istotną dla funkcjonowania administracji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B08" w:rsidRPr="005F2732" w:rsidRDefault="004F5504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B08" w:rsidRPr="005F2732" w:rsidRDefault="00E75B08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B08" w:rsidRPr="005F2732" w:rsidRDefault="004F5504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000D13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00D13" w:rsidRPr="005F2732" w:rsidRDefault="00000D13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83770E" w:rsidRPr="005F2732" w:rsidTr="00CD7A9E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70E" w:rsidRPr="005F2732" w:rsidRDefault="0083770E" w:rsidP="003B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 w:rsidR="003B72C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70E" w:rsidRPr="0083770E" w:rsidRDefault="0083770E" w:rsidP="008377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770E">
              <w:rPr>
                <w:rFonts w:ascii="Times New Roman" w:hAnsi="Times New Roman" w:cs="Times New Roman"/>
              </w:rPr>
              <w:t>biegle posługuje się w praktyce terminologią z zakresu finansów, w tym terminologią w języku obcym istotną dla funkcjonowania administracji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770E" w:rsidRDefault="004F5504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K_U06</w:t>
            </w:r>
          </w:p>
          <w:p w:rsidR="004F5504" w:rsidRPr="005F2732" w:rsidRDefault="004F5504" w:rsidP="004F5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770E" w:rsidRPr="005F2732" w:rsidRDefault="0083770E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770E" w:rsidRDefault="004F5504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  <w:p w:rsidR="004F5504" w:rsidRPr="005F2732" w:rsidRDefault="004F5504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4F5504" w:rsidRPr="005F2732" w:rsidTr="00CD7A9E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5504" w:rsidRPr="005F2732" w:rsidRDefault="004F5504" w:rsidP="003B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lastRenderedPageBreak/>
              <w:t xml:space="preserve">EK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5504" w:rsidRPr="0083770E" w:rsidRDefault="004F5504" w:rsidP="008377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770E">
              <w:rPr>
                <w:rFonts w:ascii="Times New Roman" w:hAnsi="Times New Roman" w:cs="Times New Roman"/>
              </w:rPr>
              <w:t>potrafi przygotować prace pisemne i wystąpienia ustne w języku obcym, bierze udział w debacie i d</w:t>
            </w:r>
            <w:bookmarkStart w:id="0" w:name="_GoBack"/>
            <w:bookmarkEnd w:id="0"/>
            <w:r w:rsidRPr="0083770E">
              <w:rPr>
                <w:rFonts w:ascii="Times New Roman" w:hAnsi="Times New Roman" w:cs="Times New Roman"/>
              </w:rPr>
              <w:t>yskusji związanej z analizowaną problematyką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504" w:rsidRDefault="004F550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K_U13</w:t>
            </w:r>
          </w:p>
          <w:p w:rsidR="004F5504" w:rsidRPr="005F2732" w:rsidRDefault="004F550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504" w:rsidRPr="005F2732" w:rsidRDefault="004F550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504" w:rsidRPr="005F2732" w:rsidRDefault="004F550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720C2B" w:rsidRPr="005F2732" w:rsidTr="00CD7A9E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0C2B" w:rsidRPr="005F2732" w:rsidRDefault="00720C2B" w:rsidP="003B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EU</w:t>
            </w:r>
            <w:r>
              <w:rPr>
                <w:rFonts w:ascii="Times New Roman" w:eastAsia="Calibri" w:hAnsi="Times New Roman" w:cs="Times New Roman"/>
                <w:b/>
              </w:rPr>
              <w:t xml:space="preserve"> 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0C2B" w:rsidRPr="0083770E" w:rsidRDefault="00720C2B" w:rsidP="008377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770E">
              <w:rPr>
                <w:rStyle w:val="Teksttreci10"/>
                <w:rFonts w:cs="Times New Roman"/>
                <w:sz w:val="22"/>
                <w:szCs w:val="21"/>
              </w:rPr>
              <w:t>posługuje się językiem obcym z zastosowaniem słownictwa właściwego dla studiowanego kierunku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C2B" w:rsidRDefault="00720C2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K_U13</w:t>
            </w:r>
          </w:p>
          <w:p w:rsidR="00720C2B" w:rsidRPr="005F2732" w:rsidRDefault="00720C2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C2B" w:rsidRPr="005F2732" w:rsidRDefault="00720C2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C2B" w:rsidRPr="005F2732" w:rsidRDefault="00720C2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720C2B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20C2B" w:rsidRPr="005F2732" w:rsidRDefault="00720C2B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720C2B" w:rsidRPr="005F2732" w:rsidTr="00AA5F9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0C2B" w:rsidRPr="005F2732" w:rsidRDefault="00720C2B" w:rsidP="003B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0C2B" w:rsidRPr="00856544" w:rsidRDefault="00720C2B" w:rsidP="008377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770E">
              <w:rPr>
                <w:rFonts w:ascii="Times New Roman" w:hAnsi="Times New Roman" w:cs="Times New Roman"/>
              </w:rPr>
              <w:t>potrafi myśleć i dz</w:t>
            </w:r>
            <w:r>
              <w:rPr>
                <w:rFonts w:ascii="Times New Roman" w:hAnsi="Times New Roman" w:cs="Times New Roman"/>
              </w:rPr>
              <w:t xml:space="preserve">iałać w sposób przedsiębiorczy </w:t>
            </w:r>
            <w:r w:rsidRPr="0083770E">
              <w:rPr>
                <w:rFonts w:ascii="Times New Roman" w:hAnsi="Times New Roman" w:cs="Times New Roman"/>
              </w:rPr>
              <w:t>w różnych aspektach zawodu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C2B" w:rsidRPr="005F2732" w:rsidRDefault="00720C2B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C2B" w:rsidRPr="005F2732" w:rsidRDefault="00720C2B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C2B" w:rsidRPr="005F2732" w:rsidRDefault="00720C2B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</w:rPr>
              <w:t>6U_KO</w:t>
            </w:r>
          </w:p>
        </w:tc>
      </w:tr>
    </w:tbl>
    <w:p w:rsidR="00EE6BCA" w:rsidRDefault="00EE6BCA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3B7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3B7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51–60% – opanowanie na poziomie zadowalającym podstawowych kwestii wynikających z treści </w:t>
            </w:r>
            <w:r w:rsidR="003B72C7">
              <w:rPr>
                <w:rFonts w:ascii="Times New Roman" w:eastAsia="Calibri" w:hAnsi="Times New Roman" w:cs="Times New Roman"/>
                <w:szCs w:val="18"/>
              </w:rPr>
              <w:t>realizowanego przedmiotu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3B7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61–70% – przyswojenie na średnim poziomie problematyki 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3B72C7">
              <w:rPr>
                <w:rFonts w:ascii="Times New Roman" w:eastAsia="Calibri" w:hAnsi="Times New Roman" w:cs="Times New Roman"/>
                <w:szCs w:val="18"/>
              </w:rPr>
              <w:t>realizowanego przedmiotu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funkcjonowania </w:t>
            </w:r>
            <w:r w:rsidR="003B72C7">
              <w:rPr>
                <w:rFonts w:ascii="Times New Roman" w:eastAsia="Calibri" w:hAnsi="Times New Roman" w:cs="Times New Roman"/>
                <w:szCs w:val="18"/>
              </w:rPr>
              <w:t>z zakresu realizowanego przedmiotu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3B7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zasad </w:t>
            </w:r>
            <w:r w:rsidR="003B72C7">
              <w:rPr>
                <w:rFonts w:ascii="Times New Roman" w:eastAsia="Calibri" w:hAnsi="Times New Roman" w:cs="Times New Roman"/>
                <w:szCs w:val="18"/>
              </w:rPr>
              <w:t xml:space="preserve">realizowanego przedmiotu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B72C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B72C7">
              <w:rPr>
                <w:rFonts w:ascii="Times New Roman" w:eastAsia="Calibri" w:hAnsi="Times New Roman" w:cs="Times New Roman"/>
                <w:szCs w:val="18"/>
                <w:u w:val="single"/>
              </w:rPr>
              <w:t>F1.Wypowiedzi studenta świadczące o zrozumieniu lub brakach w zrozumieniu treści omawianych</w:t>
            </w:r>
          </w:p>
          <w:p w:rsidR="0020390B" w:rsidRPr="003B72C7" w:rsidRDefault="0020390B" w:rsidP="00072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B72C7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3B72C7" w:rsidRDefault="0020390B" w:rsidP="00072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B72C7">
              <w:rPr>
                <w:rFonts w:ascii="Times New Roman" w:eastAsia="Calibri" w:hAnsi="Times New Roman" w:cs="Times New Roman"/>
                <w:szCs w:val="18"/>
                <w:u w:val="single"/>
              </w:rPr>
              <w:t>F3. Aktywność poznawcza studenta- znajomość literatury przedmiotu, samodzielne wyciąganie wniosków</w:t>
            </w:r>
          </w:p>
          <w:p w:rsidR="0020390B" w:rsidRPr="003B72C7" w:rsidRDefault="0020390B" w:rsidP="00072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3B72C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 w:rsidP="00072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B72C7">
              <w:rPr>
                <w:rFonts w:ascii="Times New Roman" w:eastAsia="Calibri" w:hAnsi="Times New Roman" w:cs="Times New Roman"/>
                <w:szCs w:val="18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2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P1. Ocena </w:t>
            </w:r>
            <w:r w:rsidR="003010C1">
              <w:rPr>
                <w:rFonts w:ascii="Times New Roman" w:eastAsia="Calibri" w:hAnsi="Times New Roman" w:cs="Times New Roman"/>
                <w:szCs w:val="18"/>
                <w:u w:val="single"/>
              </w:rPr>
              <w:t>postępów w nauce – ocena zadań realizowanych w czasie trwania semestru (ocenianie ciągłe – ćwiczenia)</w:t>
            </w: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</w:t>
            </w:r>
            <w:r w:rsidR="003B72C7">
              <w:rPr>
                <w:rFonts w:ascii="Times New Roman" w:eastAsia="Calibri" w:hAnsi="Times New Roman" w:cs="Times New Roman"/>
                <w:szCs w:val="18"/>
                <w:u w:val="single"/>
              </w:rPr>
              <w:t>/ zaliczenie ustne</w:t>
            </w:r>
          </w:p>
          <w:p w:rsidR="0020390B" w:rsidRPr="00A16E86" w:rsidRDefault="0020390B" w:rsidP="00072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B1560E" w:rsidRDefault="0020390B" w:rsidP="00072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P3. Ocena z przygotowanych prezentacji, eseju, innych form, w tym projektu opartego o </w:t>
            </w:r>
            <w:proofErr w:type="spellStart"/>
            <w:r w:rsidRPr="00B1560E">
              <w:rPr>
                <w:rFonts w:ascii="Times New Roman" w:eastAsia="Calibri" w:hAnsi="Times New Roman" w:cs="Times New Roman"/>
                <w:szCs w:val="18"/>
              </w:rPr>
              <w:t>case</w:t>
            </w:r>
            <w:proofErr w:type="spellEnd"/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B1560E">
              <w:rPr>
                <w:rFonts w:ascii="Times New Roman" w:eastAsia="Calibri" w:hAnsi="Times New Roman" w:cs="Times New Roman"/>
                <w:szCs w:val="18"/>
              </w:rPr>
              <w:t>study</w:t>
            </w:r>
            <w:proofErr w:type="spellEnd"/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(wykład/ćwiczenia)</w:t>
            </w:r>
          </w:p>
          <w:p w:rsidR="0020390B" w:rsidRPr="003010C1" w:rsidRDefault="0020390B" w:rsidP="00072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P4.Ocena z </w:t>
            </w:r>
            <w:r w:rsidR="00AD2B4F">
              <w:rPr>
                <w:rFonts w:ascii="Times New Roman" w:eastAsia="Calibri" w:hAnsi="Times New Roman" w:cs="Times New Roman"/>
                <w:szCs w:val="18"/>
                <w:u w:val="single"/>
              </w:rPr>
              <w:t>zaliczenia</w:t>
            </w: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</w:t>
            </w:r>
            <w:proofErr w:type="spellStart"/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zaliczenia</w:t>
            </w:r>
            <w:proofErr w:type="spellEnd"/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końcowego</w:t>
            </w:r>
            <w:r w:rsidR="003B72C7">
              <w:rPr>
                <w:rFonts w:ascii="Times New Roman" w:eastAsia="Calibri" w:hAnsi="Times New Roman" w:cs="Times New Roman"/>
                <w:szCs w:val="18"/>
                <w:u w:val="single"/>
              </w:rPr>
              <w:t>/ pisemnego</w:t>
            </w: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3010C1" w:rsidP="009B7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 xml:space="preserve">zaliczenie </w:t>
            </w:r>
            <w:r w:rsidR="009B72DF">
              <w:rPr>
                <w:rFonts w:ascii="Times New Roman" w:eastAsia="Calibri" w:hAnsi="Times New Roman" w:cs="Times New Roman"/>
                <w:szCs w:val="18"/>
              </w:rPr>
              <w:t>końcowe w formie kolokwium</w:t>
            </w:r>
            <w:r>
              <w:rPr>
                <w:rFonts w:ascii="Times New Roman" w:eastAsia="Calibri" w:hAnsi="Times New Roman" w:cs="Times New Roman"/>
                <w:szCs w:val="18"/>
              </w:rPr>
              <w:t xml:space="preserve"> – wykład – 100 %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72DF" w:rsidRPr="000149E8" w:rsidRDefault="009B72DF" w:rsidP="009B72D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49E8">
              <w:rPr>
                <w:rFonts w:ascii="Times New Roman" w:eastAsia="Calibri" w:hAnsi="Times New Roman" w:cs="Times New Roman"/>
              </w:rPr>
              <w:t>kolokwium pisemne z zadaniami i pytaniami</w:t>
            </w:r>
          </w:p>
          <w:p w:rsidR="003010C1" w:rsidRDefault="009B72DF" w:rsidP="003B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 xml:space="preserve">problemowymi (50%), </w:t>
            </w:r>
            <w:r w:rsidRPr="000149E8">
              <w:rPr>
                <w:rFonts w:ascii="Times New Roman" w:eastAsia="Calibri" w:hAnsi="Times New Roman" w:cs="Times New Roman"/>
              </w:rPr>
              <w:t>wypo</w:t>
            </w:r>
            <w:r w:rsidR="003B72C7">
              <w:rPr>
                <w:rFonts w:ascii="Times New Roman" w:eastAsia="Calibri" w:hAnsi="Times New Roman" w:cs="Times New Roman"/>
              </w:rPr>
              <w:t>wiedź ustna podczas zajęć</w:t>
            </w:r>
          </w:p>
        </w:tc>
      </w:tr>
    </w:tbl>
    <w:p w:rsidR="007A7D44" w:rsidRDefault="007A7D4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072177" w:rsidRDefault="00072177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072177" w:rsidRDefault="00072177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072177" w:rsidRDefault="00072177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072177" w:rsidRPr="0020390B" w:rsidRDefault="00072177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1"/>
        <w:gridCol w:w="1268"/>
        <w:gridCol w:w="1317"/>
        <w:gridCol w:w="1316"/>
        <w:gridCol w:w="1609"/>
        <w:gridCol w:w="1512"/>
        <w:gridCol w:w="1095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lastRenderedPageBreak/>
              <w:t>Metody  (sposoby) weryfikacji i oceny zakładanych efektów uczenia się osiągniętych przez studenta</w:t>
            </w:r>
          </w:p>
        </w:tc>
      </w:tr>
      <w:tr w:rsidR="0003597A" w:rsidRPr="00B23FB7" w:rsidTr="0082093D">
        <w:trPr>
          <w:trHeight w:val="344"/>
        </w:trPr>
        <w:tc>
          <w:tcPr>
            <w:tcW w:w="1171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117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C54671" w:rsidRPr="00B23FB7" w:rsidTr="0082093D">
        <w:tc>
          <w:tcPr>
            <w:tcW w:w="1171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8" w:type="dxa"/>
            <w:shd w:val="clear" w:color="auto" w:fill="FFFF00"/>
            <w:vAlign w:val="center"/>
          </w:tcPr>
          <w:p w:rsidR="0003597A" w:rsidRPr="00B23FB7" w:rsidRDefault="00AD2B4F" w:rsidP="000868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Zaliczenie</w:t>
            </w:r>
            <w:r w:rsidR="00184463" w:rsidRPr="00B23FB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B72DF">
              <w:rPr>
                <w:rFonts w:ascii="Times New Roman" w:eastAsia="Calibri" w:hAnsi="Times New Roman" w:cs="Times New Roman"/>
                <w:b/>
              </w:rPr>
              <w:t xml:space="preserve">pisemne </w:t>
            </w:r>
            <w:r w:rsidR="00086853">
              <w:rPr>
                <w:rFonts w:ascii="Times New Roman" w:eastAsia="Calibri" w:hAnsi="Times New Roman" w:cs="Times New Roman"/>
                <w:b/>
              </w:rPr>
              <w:t>–</w:t>
            </w:r>
            <w:r w:rsidR="009B72DF">
              <w:rPr>
                <w:rFonts w:ascii="Times New Roman" w:eastAsia="Calibri" w:hAnsi="Times New Roman" w:cs="Times New Roman"/>
                <w:b/>
              </w:rPr>
              <w:t xml:space="preserve"> kolokwium</w:t>
            </w:r>
            <w:r w:rsidR="00086853">
              <w:rPr>
                <w:rFonts w:ascii="Times New Roman" w:eastAsia="Calibri" w:hAnsi="Times New Roman" w:cs="Times New Roman"/>
                <w:b/>
              </w:rPr>
              <w:t xml:space="preserve"> – wykład </w:t>
            </w:r>
          </w:p>
        </w:tc>
        <w:tc>
          <w:tcPr>
            <w:tcW w:w="1317" w:type="dxa"/>
            <w:shd w:val="clear" w:color="auto" w:fill="FFFF00"/>
            <w:vAlign w:val="center"/>
          </w:tcPr>
          <w:p w:rsidR="0003597A" w:rsidRPr="00B23FB7" w:rsidRDefault="00086853" w:rsidP="009D2A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Kolokwium pisemne z ćwiczeń</w:t>
            </w:r>
          </w:p>
        </w:tc>
        <w:tc>
          <w:tcPr>
            <w:tcW w:w="1316" w:type="dxa"/>
            <w:shd w:val="clear" w:color="auto" w:fill="FFFF00"/>
            <w:vAlign w:val="center"/>
          </w:tcPr>
          <w:p w:rsidR="0003597A" w:rsidRPr="00B23FB7" w:rsidRDefault="009B72DF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Wypowiedź ustna w czasie zajęć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D15AFC">
              <w:rPr>
                <w:rFonts w:ascii="Times New Roman" w:eastAsia="Calibri" w:hAnsi="Times New Roman" w:cs="Times New Roman"/>
                <w:b/>
              </w:rPr>
              <w:t>/ ocenianie ciągłe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095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C54671" w:rsidRPr="00B23FB7" w:rsidTr="0082093D">
        <w:tc>
          <w:tcPr>
            <w:tcW w:w="1171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1268" w:type="dxa"/>
            <w:vAlign w:val="center"/>
          </w:tcPr>
          <w:p w:rsidR="0003597A" w:rsidRPr="00B23FB7" w:rsidRDefault="003010C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31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82093D">
        <w:tc>
          <w:tcPr>
            <w:tcW w:w="1171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1268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3597A" w:rsidRPr="00B23FB7" w:rsidRDefault="0082093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82093D">
        <w:tc>
          <w:tcPr>
            <w:tcW w:w="1171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3</w:t>
            </w:r>
          </w:p>
        </w:tc>
        <w:tc>
          <w:tcPr>
            <w:tcW w:w="1268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3597A" w:rsidRPr="00B23FB7" w:rsidRDefault="0082093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82093D">
        <w:tc>
          <w:tcPr>
            <w:tcW w:w="1171" w:type="dxa"/>
            <w:vAlign w:val="center"/>
          </w:tcPr>
          <w:p w:rsidR="0003597A" w:rsidRPr="00B23FB7" w:rsidRDefault="000E44C4" w:rsidP="000359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4</w:t>
            </w:r>
          </w:p>
        </w:tc>
        <w:tc>
          <w:tcPr>
            <w:tcW w:w="1268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82093D">
        <w:tc>
          <w:tcPr>
            <w:tcW w:w="1171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5</w:t>
            </w:r>
          </w:p>
        </w:tc>
        <w:tc>
          <w:tcPr>
            <w:tcW w:w="1268" w:type="dxa"/>
            <w:vAlign w:val="center"/>
          </w:tcPr>
          <w:p w:rsidR="0003597A" w:rsidRPr="00B23FB7" w:rsidRDefault="0082093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31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ustnej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72177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72177" w:rsidP="00D1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zajęć/ ocenianie ciągłe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86853" w:rsidP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72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86853" w:rsidP="00072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7217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D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86853" w:rsidP="000D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D2EA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072177" w:rsidRDefault="00072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177">
              <w:rPr>
                <w:rFonts w:ascii="Times New Roman" w:eastAsia="Calibri" w:hAnsi="Times New Roman" w:cs="Times New Roman"/>
                <w:b/>
              </w:rPr>
              <w:t>80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072177" w:rsidRDefault="00072177" w:rsidP="000D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177">
              <w:rPr>
                <w:rFonts w:ascii="Times New Roman" w:eastAsia="Calibri" w:hAnsi="Times New Roman" w:cs="Times New Roman"/>
                <w:b/>
              </w:rPr>
              <w:t>3,2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072177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072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A16270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A16270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072177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072177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072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0D2EAF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6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066BD"/>
    <w:multiLevelType w:val="hybridMultilevel"/>
    <w:tmpl w:val="ED22B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9763B"/>
    <w:multiLevelType w:val="hybridMultilevel"/>
    <w:tmpl w:val="07F6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7"/>
  </w:num>
  <w:num w:numId="5">
    <w:abstractNumId w:val="19"/>
  </w:num>
  <w:num w:numId="6">
    <w:abstractNumId w:val="0"/>
  </w:num>
  <w:num w:numId="7">
    <w:abstractNumId w:val="20"/>
  </w:num>
  <w:num w:numId="8">
    <w:abstractNumId w:val="1"/>
  </w:num>
  <w:num w:numId="9">
    <w:abstractNumId w:val="7"/>
  </w:num>
  <w:num w:numId="10">
    <w:abstractNumId w:val="15"/>
  </w:num>
  <w:num w:numId="11">
    <w:abstractNumId w:val="12"/>
  </w:num>
  <w:num w:numId="12">
    <w:abstractNumId w:val="23"/>
  </w:num>
  <w:num w:numId="13">
    <w:abstractNumId w:val="18"/>
  </w:num>
  <w:num w:numId="14">
    <w:abstractNumId w:val="8"/>
  </w:num>
  <w:num w:numId="15">
    <w:abstractNumId w:val="6"/>
  </w:num>
  <w:num w:numId="16">
    <w:abstractNumId w:val="16"/>
  </w:num>
  <w:num w:numId="17">
    <w:abstractNumId w:val="13"/>
  </w:num>
  <w:num w:numId="18">
    <w:abstractNumId w:val="21"/>
  </w:num>
  <w:num w:numId="19">
    <w:abstractNumId w:val="3"/>
  </w:num>
  <w:num w:numId="20">
    <w:abstractNumId w:val="5"/>
    <w:lvlOverride w:ilvl="0">
      <w:startOverride w:val="1"/>
    </w:lvlOverride>
  </w:num>
  <w:num w:numId="21">
    <w:abstractNumId w:val="4"/>
  </w:num>
  <w:num w:numId="22">
    <w:abstractNumId w:val="14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149E8"/>
    <w:rsid w:val="0003597A"/>
    <w:rsid w:val="00072177"/>
    <w:rsid w:val="000821A1"/>
    <w:rsid w:val="00086853"/>
    <w:rsid w:val="000A3030"/>
    <w:rsid w:val="000B1713"/>
    <w:rsid w:val="000D2EAF"/>
    <w:rsid w:val="000E44C4"/>
    <w:rsid w:val="000E57A4"/>
    <w:rsid w:val="000E57DB"/>
    <w:rsid w:val="000F6BC8"/>
    <w:rsid w:val="001533F1"/>
    <w:rsid w:val="0016056A"/>
    <w:rsid w:val="00181AD2"/>
    <w:rsid w:val="00184463"/>
    <w:rsid w:val="001930B1"/>
    <w:rsid w:val="001D225E"/>
    <w:rsid w:val="001D2AFC"/>
    <w:rsid w:val="00202BE1"/>
    <w:rsid w:val="0020390B"/>
    <w:rsid w:val="00205C00"/>
    <w:rsid w:val="00261F08"/>
    <w:rsid w:val="00290B59"/>
    <w:rsid w:val="003010C1"/>
    <w:rsid w:val="00324E6B"/>
    <w:rsid w:val="003372AB"/>
    <w:rsid w:val="003457A3"/>
    <w:rsid w:val="00347081"/>
    <w:rsid w:val="003913A3"/>
    <w:rsid w:val="003B72C7"/>
    <w:rsid w:val="003E0F50"/>
    <w:rsid w:val="00402C35"/>
    <w:rsid w:val="00417815"/>
    <w:rsid w:val="00440B46"/>
    <w:rsid w:val="00445C54"/>
    <w:rsid w:val="00461EB5"/>
    <w:rsid w:val="00475135"/>
    <w:rsid w:val="00490AF0"/>
    <w:rsid w:val="004A621C"/>
    <w:rsid w:val="004A670F"/>
    <w:rsid w:val="004F4ECE"/>
    <w:rsid w:val="004F5504"/>
    <w:rsid w:val="00575498"/>
    <w:rsid w:val="0059373C"/>
    <w:rsid w:val="005C63B3"/>
    <w:rsid w:val="005E1F40"/>
    <w:rsid w:val="005F2732"/>
    <w:rsid w:val="00613899"/>
    <w:rsid w:val="00662E69"/>
    <w:rsid w:val="00664D97"/>
    <w:rsid w:val="006D4FA3"/>
    <w:rsid w:val="00705399"/>
    <w:rsid w:val="00720C2B"/>
    <w:rsid w:val="0077565A"/>
    <w:rsid w:val="007821CD"/>
    <w:rsid w:val="00790F45"/>
    <w:rsid w:val="007960DF"/>
    <w:rsid w:val="007A7D44"/>
    <w:rsid w:val="007D40BE"/>
    <w:rsid w:val="007E109D"/>
    <w:rsid w:val="0082093D"/>
    <w:rsid w:val="0083770E"/>
    <w:rsid w:val="00856544"/>
    <w:rsid w:val="00897224"/>
    <w:rsid w:val="008B38F6"/>
    <w:rsid w:val="009705B1"/>
    <w:rsid w:val="009B1B25"/>
    <w:rsid w:val="009B72DF"/>
    <w:rsid w:val="009C1974"/>
    <w:rsid w:val="009D2ADB"/>
    <w:rsid w:val="009D629F"/>
    <w:rsid w:val="00A16270"/>
    <w:rsid w:val="00A16E86"/>
    <w:rsid w:val="00A22E06"/>
    <w:rsid w:val="00A54EBF"/>
    <w:rsid w:val="00A60F4F"/>
    <w:rsid w:val="00A64397"/>
    <w:rsid w:val="00A64BA3"/>
    <w:rsid w:val="00A770A0"/>
    <w:rsid w:val="00AD2B4F"/>
    <w:rsid w:val="00B042B6"/>
    <w:rsid w:val="00B07456"/>
    <w:rsid w:val="00B1560E"/>
    <w:rsid w:val="00B2394A"/>
    <w:rsid w:val="00B23FB7"/>
    <w:rsid w:val="00B762A5"/>
    <w:rsid w:val="00BD095A"/>
    <w:rsid w:val="00C1686B"/>
    <w:rsid w:val="00C22968"/>
    <w:rsid w:val="00C54671"/>
    <w:rsid w:val="00C57808"/>
    <w:rsid w:val="00CB180E"/>
    <w:rsid w:val="00CB5E21"/>
    <w:rsid w:val="00CC4248"/>
    <w:rsid w:val="00CE3E50"/>
    <w:rsid w:val="00CE51D2"/>
    <w:rsid w:val="00CF13C6"/>
    <w:rsid w:val="00D10B3A"/>
    <w:rsid w:val="00D15AFC"/>
    <w:rsid w:val="00D23B3B"/>
    <w:rsid w:val="00DF702C"/>
    <w:rsid w:val="00E32D3C"/>
    <w:rsid w:val="00E75B08"/>
    <w:rsid w:val="00E75EF6"/>
    <w:rsid w:val="00EB23F2"/>
    <w:rsid w:val="00EB33D7"/>
    <w:rsid w:val="00EE01B4"/>
    <w:rsid w:val="00EE6BCA"/>
    <w:rsid w:val="00EF3D4C"/>
    <w:rsid w:val="00F06174"/>
    <w:rsid w:val="00F173A4"/>
    <w:rsid w:val="00F45F92"/>
    <w:rsid w:val="00F6102E"/>
    <w:rsid w:val="00F824A7"/>
    <w:rsid w:val="00F93C38"/>
    <w:rsid w:val="00FB1B50"/>
    <w:rsid w:val="00FC1054"/>
    <w:rsid w:val="00FC7115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paragraph" w:customStyle="1" w:styleId="Opiswieloliniowy">
    <w:name w:val="Opis wieloliniowy"/>
    <w:basedOn w:val="Normalny"/>
    <w:qFormat/>
    <w:rsid w:val="00A22E06"/>
    <w:pPr>
      <w:spacing w:after="60" w:line="240" w:lineRule="auto"/>
    </w:pPr>
    <w:rPr>
      <w:rFonts w:eastAsia="Times New Roman" w:cs="Times New Roman"/>
      <w:lang w:eastAsia="en-US"/>
    </w:rPr>
  </w:style>
  <w:style w:type="character" w:customStyle="1" w:styleId="Teksttreci10">
    <w:name w:val="Tekst treści + 10"/>
    <w:aliases w:val="5 pt"/>
    <w:rsid w:val="0083770E"/>
    <w:rPr>
      <w:rFonts w:ascii="Times New Roman" w:hAnsi="Times New Roman"/>
      <w:spacing w:val="0"/>
      <w:sz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paragraph" w:customStyle="1" w:styleId="Opiswieloliniowy">
    <w:name w:val="Opis wieloliniowy"/>
    <w:basedOn w:val="Normalny"/>
    <w:qFormat/>
    <w:rsid w:val="00A22E06"/>
    <w:pPr>
      <w:spacing w:after="60" w:line="240" w:lineRule="auto"/>
    </w:pPr>
    <w:rPr>
      <w:rFonts w:eastAsia="Times New Roman" w:cs="Times New Roman"/>
      <w:lang w:eastAsia="en-US"/>
    </w:rPr>
  </w:style>
  <w:style w:type="character" w:customStyle="1" w:styleId="Teksttreci10">
    <w:name w:val="Tekst treści + 10"/>
    <w:aliases w:val="5 pt"/>
    <w:rsid w:val="0083770E"/>
    <w:rPr>
      <w:rFonts w:ascii="Times New Roman" w:hAnsi="Times New Roman"/>
      <w:spacing w:val="0"/>
      <w:sz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8</cp:revision>
  <dcterms:created xsi:type="dcterms:W3CDTF">2023-11-25T21:22:00Z</dcterms:created>
  <dcterms:modified xsi:type="dcterms:W3CDTF">2023-11-27T19:28:00Z</dcterms:modified>
</cp:coreProperties>
</file>