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EA83719" wp14:editId="56567D4B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17D76" wp14:editId="6D070230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83338" w:rsidP="00A07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3338">
              <w:rPr>
                <w:rFonts w:ascii="Times New Roman" w:hAnsi="Times New Roman" w:cs="Times New Roman"/>
                <w:b/>
              </w:rPr>
              <w:t>ALP_AG_</w:t>
            </w:r>
            <w:r w:rsidR="00422D7E">
              <w:rPr>
                <w:rFonts w:ascii="Times New Roman" w:hAnsi="Times New Roman" w:cs="Times New Roman"/>
                <w:b/>
              </w:rPr>
              <w:t>60</w:t>
            </w:r>
            <w:r w:rsidR="00A0787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A07871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A07871">
              <w:rPr>
                <w:rFonts w:ascii="Times New Roman" w:eastAsia="Calibri" w:hAnsi="Times New Roman" w:cs="Times New Roman"/>
                <w:b/>
                <w:caps/>
              </w:rPr>
              <w:t>Systemy administrowania rynkiem pracy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>do wyboru: administracja gospodarcza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422D7E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0D5DB4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na ocenę w formie kolokwium pisemnego</w:t>
            </w:r>
            <w:r w:rsidR="000D5DB4">
              <w:rPr>
                <w:rFonts w:ascii="Times New Roman" w:hAnsi="Times New Roman" w:cs="Times New Roman"/>
              </w:rPr>
              <w:t xml:space="preserve"> - test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012D" w:rsidRPr="0040153E" w:rsidRDefault="0065012D" w:rsidP="009466FC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Barzycka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– Banaszczyk M.,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pracy z testami on-line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65012D" w:rsidRDefault="0065012D" w:rsidP="009466FC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 w:cs="Times New Roman"/>
              </w:rPr>
              <w:t>Florek L.</w:t>
            </w:r>
            <w:r w:rsidRPr="004015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pracy z testami on-line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65012D" w:rsidRPr="000D3EFF" w:rsidRDefault="0065012D" w:rsidP="009466FC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Selina J., </w:t>
            </w:r>
            <w:r>
              <w:rPr>
                <w:rFonts w:ascii="Times New Roman" w:hAnsi="Times New Roman" w:cs="Times New Roman"/>
                <w:i/>
              </w:rPr>
              <w:t xml:space="preserve">Prawo urzędnicze, </w:t>
            </w:r>
            <w:r>
              <w:rPr>
                <w:rFonts w:ascii="Times New Roman" w:hAnsi="Times New Roman" w:cs="Times New Roman"/>
              </w:rPr>
              <w:t>2017.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012D" w:rsidRPr="00D26AB2" w:rsidRDefault="0065012D" w:rsidP="009466FC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Liszcz T., </w:t>
            </w:r>
            <w:r w:rsidRPr="00D26AB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Prawo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pracy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65012D" w:rsidRDefault="0065012D" w:rsidP="009466FC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65012D" w:rsidRPr="00D26AB2" w:rsidRDefault="0065012D" w:rsidP="009466F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</w:t>
            </w: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A07871" w:rsidRPr="00B1560E" w:rsidTr="00882C91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7871" w:rsidRPr="00B1560E" w:rsidRDefault="00A0787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871" w:rsidRPr="00A07871" w:rsidRDefault="00A07871" w:rsidP="00A078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7871">
              <w:rPr>
                <w:rFonts w:ascii="Times New Roman" w:hAnsi="Times New Roman" w:cs="Times New Roman"/>
              </w:rPr>
              <w:t>Zapoznanie studentów z mechanizmem popytu i podaży siły roboczej na rynku pracy</w:t>
            </w:r>
          </w:p>
        </w:tc>
      </w:tr>
      <w:tr w:rsidR="00A07871" w:rsidRPr="00B1560E" w:rsidTr="00882C91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7871" w:rsidRPr="00B1560E" w:rsidRDefault="00A0787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871" w:rsidRPr="00A07871" w:rsidRDefault="00A07871" w:rsidP="00A078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7871">
              <w:rPr>
                <w:rFonts w:ascii="Times New Roman" w:hAnsi="Times New Roman" w:cs="Times New Roman"/>
              </w:rPr>
              <w:t>Zapoznanie studentów z zasadami i skutkami polityki zatrudnienia i przeciwdziałania bezrobociu dla gospodarki i społeczeństwa</w:t>
            </w:r>
          </w:p>
        </w:tc>
      </w:tr>
      <w:tr w:rsidR="00A07871" w:rsidRPr="00B1560E" w:rsidTr="00882C91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7871" w:rsidRPr="00B1560E" w:rsidRDefault="00A0787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871" w:rsidRPr="00A07871" w:rsidRDefault="00A07871" w:rsidP="00A078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7871">
              <w:rPr>
                <w:rFonts w:ascii="Times New Roman" w:hAnsi="Times New Roman" w:cs="Times New Roman"/>
              </w:rPr>
              <w:t>Uświadomienie przyszłości pracy w zglobalizowanym świecie.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871" w:rsidRPr="00A07871" w:rsidRDefault="00A07871" w:rsidP="00A0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Wybrane aspekty teoretyczne funkcjonowania na rynku pracy: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Rynek pracy: ujęcie definicyjne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Monitoring rynku pracy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Polityki rynku pracy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Polityka rynku pracy w Polsce w świetle Ustawy o promocji zatrudnienia i instytucjach rynku pracy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Aktywne polityki rynku pracy w świetle doświadczeń międzynarodowych.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Badanie efektywności aktywnych polityk rynku pracy.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Monitoring rynku pracy w Europie.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Europejska Strategia Zatrudnienia.</w:t>
            </w:r>
          </w:p>
          <w:p w:rsidR="009D629F" w:rsidRPr="00FF0240" w:rsidRDefault="00A07871" w:rsidP="00A0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Instytucje rynku pracy w wybranych państwach UE.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871" w:rsidRPr="00A07871" w:rsidRDefault="00835B26" w:rsidP="00A078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P</w:t>
            </w:r>
            <w:r w:rsidR="00A07871"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Popyt</w:t>
            </w:r>
            <w:proofErr w:type="spellEnd"/>
            <w:r w:rsidR="00A07871"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, podaż i dostosowanie płac na rynku pracy. Instytucje rynku pracy i ich rola w funkcjonowaniu na rynku pracy. Niedopasowanie strukturalne na rynku pracy. Bezrobocie: rodzaje i przyczyny. Bezrobocie a niezatrudnienie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Podstawowe pojęcia takie jak ludność w wieku produkcyjnym, przedprodukcyjnym i poprodukcyjnym; aktywni i bierni ekonomicznie, pracujący, bezrobotni itp.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Podstawowe źródła danych. Charakterystyka BAEL i definicji: bezrobocia, bierności zawodowej i zatrudnienia. Wskaźniki podaży pracy: współczynnik aktywności zawodowej i jego </w:t>
            </w:r>
            <w:proofErr w:type="spellStart"/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dezagregacja</w:t>
            </w:r>
            <w:proofErr w:type="spellEnd"/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, stopa bezrobocia- różne sposoby pomiaru i definicje, wskaźnik natężenia oraz gęstość bezrobocia, wskaźnik wymiany bezrobocia, wskaźnik szans na znalezienie pracy, wskaźnik bezrobocia. Badania popytu na pracę. Monitoring zawodów nadwyżkowych i deficytowych ( w tym wskaźniki stosowane w monitoringu). Prognozowanie podaży i popytu na pracę: wybrane aspekty.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Rola prawa pracy ( EPL). Aktywne i bierne polityki rynku pracy. Rodzaje aktywnych polityk na rynku pracy. Instrumenty, instytucje i prowadzenie aktywnych polityk rynku pracy. Aktywne polityki rynku pracy w świetle teorii ekonomicznych. Bierne polityki rynku pracy w świetle teorii ekonomicznych.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Organizacja polityki rynku pracy w Polsce. Finansowanie polityki rynku pracy. Ewolucja aktywnej polityki rynku pracy w Polsce wg. Instrumentów i działań. Krajowy Plan Działań na rzecz Zatrudnienia. Programy aktywnej polityki rynku pracy realizowane przez powiatowe urzędy pracy w Polsce- analiza wybranych usług i instrumentów.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Modele polityk rynku pracy w wybranych państwach OECD- aspekty porównawcze. Aktywne polityki rynku pracy w wybranych państwach OECD- studia przypadku. Skuteczność aktywnych polityk rynku pracy w wybranych państwach OECD.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Dwa podejścia do ewaluacji aktywnych polityk rynku pracy (mikro i makro). Produkt brutto programów rynku pracy oraz badanie efektywności netto. Przykłady badań ewaluacyjnych. Efekty zewnętrzne programów rynku pracy. Analiza efektywności instrumentów wspierania i promocji zatrudnienia finansowanych z Funduszu Pracy.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Charakterystyka rynków pracy państw UE. Monitoring rynku pracy Unii Europejskiej. </w:t>
            </w:r>
            <w:proofErr w:type="spellStart"/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Labour</w:t>
            </w:r>
            <w:proofErr w:type="spellEnd"/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Force </w:t>
            </w:r>
            <w:proofErr w:type="spellStart"/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Survey</w:t>
            </w:r>
            <w:proofErr w:type="spellEnd"/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jako podstawowe źródło wiedzy na temat rynków pracy UE. Monitoring rynku pracy w ramach OCED.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Integracja europejska w obszarze polityki rynku pracy. Ewolucja europejskiej polityki rynku pracy. ESZ- wytyczne polityki zatrudnienia, cztery filary polityki rynku pracy. Skutki aktywnej polityki rynku pracy prowadzonej w UE.</w:t>
            </w:r>
          </w:p>
          <w:p w:rsidR="00A07871" w:rsidRPr="00A07871" w:rsidRDefault="00A07871" w:rsidP="00A078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Regulacje dotyczące zatrudnienia, zwalniania, ustalania płac, prowadzenia dialogu społecznego. Ochrona dochodów osób bezrobotnych. Koncepcja </w:t>
            </w:r>
            <w:proofErr w:type="spellStart"/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flexicurity</w:t>
            </w:r>
            <w:proofErr w:type="spellEnd"/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. Koszty i korzyści z uelastyczniania rynku pracy.</w:t>
            </w:r>
          </w:p>
          <w:p w:rsidR="007152AF" w:rsidRPr="007152AF" w:rsidRDefault="00A07871" w:rsidP="00A078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07871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2C3853" w:rsidRDefault="002C3853"/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831315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315" w:rsidRPr="001D18F7" w:rsidRDefault="0083131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315" w:rsidRPr="00F10D34" w:rsidRDefault="00831315" w:rsidP="00835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E9E">
              <w:rPr>
                <w:rFonts w:ascii="Times New Roman" w:hAnsi="Times New Roman" w:cs="Times New Roman"/>
              </w:rPr>
              <w:t xml:space="preserve">Student zna wybrane aspekty teoretyczne funkcjonowania rynku pracy, w tym takie pojęcia jak popyt, podaż i dostosowanie płac na rynku pracy. Zna pojęcie instytucji i ich role w funkcjonowaniu rynku pracy. Wie, jakie aspekty może mieć niedostosowanie strukturalne na rynku pracy. </w:t>
            </w:r>
            <w:r w:rsidRPr="00270E9E">
              <w:rPr>
                <w:rFonts w:ascii="Times New Roman" w:hAnsi="Times New Roman" w:cs="Times New Roman"/>
              </w:rPr>
              <w:lastRenderedPageBreak/>
              <w:t>Zna podstawowe rodzaje i przyczyny bezrobocia.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15" w:rsidRDefault="0083131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K_W03</w:t>
            </w:r>
          </w:p>
          <w:p w:rsidR="00831315" w:rsidRPr="001D18F7" w:rsidRDefault="0083131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15" w:rsidRPr="001D18F7" w:rsidRDefault="0083131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15" w:rsidRDefault="0083131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831315" w:rsidRPr="001D18F7" w:rsidRDefault="0083131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831315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315" w:rsidRPr="001D18F7" w:rsidRDefault="0083131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315" w:rsidRPr="00F10D34" w:rsidRDefault="00831315" w:rsidP="00334A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E9E">
              <w:rPr>
                <w:rFonts w:ascii="Times New Roman" w:hAnsi="Times New Roman" w:cs="Times New Roman"/>
              </w:rPr>
              <w:t>Student zna podstawowe danych o sytuacji na rynku pracy (w tym charakterystykę i definicje stosowane w BPEL, definicję podstawowych wskaźników odnoszących się do podaży pracy, podstawowych metodologii badania popytu na pracę, zarys metodologii monitorowania zawodów nadwyżkowych i deficyt</w:t>
            </w:r>
            <w:r>
              <w:rPr>
                <w:rFonts w:ascii="Times New Roman" w:hAnsi="Times New Roman" w:cs="Times New Roman"/>
              </w:rPr>
              <w:t xml:space="preserve">owych oraz wybrane aspekty dotyczące </w:t>
            </w:r>
            <w:r w:rsidRPr="00270E9E">
              <w:rPr>
                <w:rFonts w:ascii="Times New Roman" w:hAnsi="Times New Roman" w:cs="Times New Roman"/>
              </w:rPr>
              <w:t>problemów prognozowania podaży i popytu na pracę.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15" w:rsidRPr="001D18F7" w:rsidRDefault="00831315" w:rsidP="0033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K_W09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15" w:rsidRPr="001D18F7" w:rsidRDefault="0083131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15" w:rsidRDefault="0083131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831315" w:rsidRPr="001D18F7" w:rsidRDefault="0083131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831315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315" w:rsidRPr="001D18F7" w:rsidRDefault="0083131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315" w:rsidRPr="00F10D34" w:rsidRDefault="00831315" w:rsidP="00334A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E9E">
              <w:rPr>
                <w:rFonts w:ascii="Times New Roman" w:hAnsi="Times New Roman" w:cs="Times New Roman"/>
              </w:rPr>
              <w:t>Student ma wiedzę na temat monitoringu rynku pracy w Europie. Zna charakterystyki rynków pracy państw UE oraz zarys systemu monitoringu rynku pracy Unii Europejskiej.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15" w:rsidRPr="001D18F7" w:rsidRDefault="0083131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15" w:rsidRPr="001D18F7" w:rsidRDefault="0083131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15" w:rsidRDefault="0083131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831315" w:rsidRPr="001D18F7" w:rsidRDefault="0083131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334A41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334A41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A41" w:rsidRPr="00D36E30" w:rsidRDefault="00334A41" w:rsidP="00BA5E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70E9E">
              <w:rPr>
                <w:rFonts w:ascii="Times New Roman" w:hAnsi="Times New Roman" w:cs="Times New Roman"/>
                <w:szCs w:val="20"/>
              </w:rPr>
              <w:t>Student potrafi interpretować oraz analizować przyczyny i skutki zjawisk zachodzących na rynku pracy w kontekście teoretycznych aspektów funkcjonowania rynku pracy. Posiada umiejętność rozumienia zjawisk społeczno- ekonomicznych związanych z rynkiem pracy.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33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334A41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A41" w:rsidRPr="00D36E30" w:rsidRDefault="00334A41" w:rsidP="00BA5E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70E9E">
              <w:rPr>
                <w:rFonts w:ascii="Times New Roman" w:hAnsi="Times New Roman" w:cs="Times New Roman"/>
                <w:szCs w:val="20"/>
              </w:rPr>
              <w:t>Student potrafi przygotować w oparciu o samodzielną analizę i interpretacje danych i materiałów przygotować oraz zaprezentować wystąpienie na zadany temat związany z problematyką zajęć.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334A41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A41" w:rsidRPr="002060EE" w:rsidRDefault="00334A41" w:rsidP="00BA5E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70E9E">
              <w:rPr>
                <w:rFonts w:ascii="Times New Roman" w:hAnsi="Times New Roman" w:cs="Times New Roman"/>
                <w:szCs w:val="20"/>
              </w:rPr>
              <w:t>Student potrafi pozyskiwać dane i wyszukiwać informacje niezbędne w przygotowywaniu pracy akademickiej na zadany temat z wykorzystaniem Internetu, katalogów bibliotek itp. Student potrafi formułować problemy i pytania badawcze oraz uzasadniać ich znaczenie w odniesieniu do literatury przedmiotu. Student potrafi przygotować referat z dbałością o stronę formalną.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334A41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334A41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A41" w:rsidRPr="00270E9E" w:rsidRDefault="00334A41" w:rsidP="00804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70E9E">
              <w:rPr>
                <w:rFonts w:ascii="Times New Roman" w:hAnsi="Times New Roman" w:cs="Times New Roman"/>
                <w:szCs w:val="20"/>
              </w:rPr>
              <w:t>Student nabywa postawę rozszerzania i doskonalen</w:t>
            </w:r>
            <w:r w:rsidR="00804154">
              <w:rPr>
                <w:rFonts w:ascii="Times New Roman" w:hAnsi="Times New Roman" w:cs="Times New Roman"/>
                <w:szCs w:val="20"/>
              </w:rPr>
              <w:t>ia swojej wiedzy i umiejętności w podejmowanej działalności zawodowej.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80415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80415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334A41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A41" w:rsidRPr="00270E9E" w:rsidRDefault="00334A41" w:rsidP="00804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70E9E">
              <w:rPr>
                <w:rFonts w:ascii="Times New Roman" w:hAnsi="Times New Roman" w:cs="Times New Roman"/>
                <w:szCs w:val="20"/>
              </w:rPr>
              <w:t>Student umie odpowiednio formułować priorytety w pracy oraz rozstrzygać dylematy związane z wykonywaniem zadań zawodowych.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80415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334A4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41" w:rsidRPr="001D18F7" w:rsidRDefault="0080415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270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270E9E">
              <w:rPr>
                <w:rFonts w:ascii="Times New Roman" w:eastAsia="Calibri" w:hAnsi="Times New Roman" w:cs="Times New Roman"/>
                <w:szCs w:val="18"/>
              </w:rPr>
              <w:t>systemów administrowania rynkiem pracy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270E9E">
              <w:rPr>
                <w:rFonts w:ascii="Times New Roman" w:eastAsia="Calibri" w:hAnsi="Times New Roman" w:cs="Times New Roman"/>
                <w:szCs w:val="18"/>
              </w:rPr>
              <w:t>systemów administrowania rynkiem pracy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270E9E">
              <w:rPr>
                <w:rFonts w:ascii="Times New Roman" w:eastAsia="Calibri" w:hAnsi="Times New Roman" w:cs="Times New Roman"/>
                <w:szCs w:val="18"/>
              </w:rPr>
              <w:t>systemów administrowania rynkiem pracy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270E9E">
              <w:rPr>
                <w:rFonts w:ascii="Times New Roman" w:eastAsia="Calibri" w:hAnsi="Times New Roman" w:cs="Times New Roman"/>
                <w:szCs w:val="18"/>
              </w:rPr>
              <w:t>systemów administrowania rynkiem pracy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270E9E">
              <w:rPr>
                <w:rFonts w:ascii="Times New Roman" w:eastAsia="Calibri" w:hAnsi="Times New Roman" w:cs="Times New Roman"/>
                <w:szCs w:val="18"/>
              </w:rPr>
              <w:t>systemów administrowania rynkiem pracy</w:t>
            </w:r>
          </w:p>
        </w:tc>
      </w:tr>
      <w:tr w:rsidR="0020390B" w:rsidRPr="00B1560E" w:rsidTr="003938AE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270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270E9E">
              <w:rPr>
                <w:rFonts w:ascii="Times New Roman" w:eastAsia="Calibri" w:hAnsi="Times New Roman" w:cs="Times New Roman"/>
                <w:szCs w:val="18"/>
              </w:rPr>
              <w:t>systemami administrowania rynkiem pracy</w:t>
            </w:r>
            <w:r w:rsidR="00270E9E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  <w:tr w:rsidR="0020390B" w:rsidRPr="00B1560E" w:rsidTr="003938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METODY OCENY</w:t>
            </w:r>
          </w:p>
        </w:tc>
      </w:tr>
      <w:tr w:rsidR="0020390B" w:rsidRPr="00B1560E" w:rsidTr="003938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3938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3938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3938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965BDD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965BDD">
              <w:rPr>
                <w:rFonts w:ascii="Times New Roman" w:eastAsia="Calibri" w:hAnsi="Times New Roman" w:cs="Times New Roman"/>
                <w:szCs w:val="18"/>
                <w:u w:val="single"/>
              </w:rPr>
              <w:t>egzaminu</w:t>
            </w:r>
            <w:bookmarkStart w:id="0" w:name="_GoBack"/>
            <w:bookmarkEnd w:id="0"/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0D5DB4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  <w:r w:rsidR="000D5DB4">
              <w:rPr>
                <w:rFonts w:ascii="Times New Roman" w:hAnsi="Times New Roman" w:cs="Times New Roman"/>
              </w:rPr>
              <w:t xml:space="preserve"> - test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0D5DB4" w:rsidRPr="00B23FB7" w:rsidTr="00445C54">
        <w:tc>
          <w:tcPr>
            <w:tcW w:w="1209" w:type="dxa"/>
            <w:vAlign w:val="center"/>
          </w:tcPr>
          <w:p w:rsidR="000D5DB4" w:rsidRPr="00B23FB7" w:rsidRDefault="000D5DB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0D5DB4" w:rsidRPr="00B23FB7" w:rsidRDefault="000D5DB4" w:rsidP="00C918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D5DB4" w:rsidRPr="00B23FB7" w:rsidRDefault="000D5DB4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5DB4" w:rsidRPr="00B23FB7" w:rsidTr="00445C54">
        <w:tc>
          <w:tcPr>
            <w:tcW w:w="1209" w:type="dxa"/>
            <w:vAlign w:val="center"/>
          </w:tcPr>
          <w:p w:rsidR="000D5DB4" w:rsidRPr="00B23FB7" w:rsidRDefault="000D5DB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0D5DB4" w:rsidRPr="00B23FB7" w:rsidRDefault="000D5DB4" w:rsidP="00C918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D5DB4" w:rsidRPr="00B23FB7" w:rsidRDefault="000D5DB4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5DB4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5DB4" w:rsidRPr="00B23FB7" w:rsidRDefault="000D5DB4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5DB4" w:rsidRPr="00B23FB7" w:rsidRDefault="000D5DB4" w:rsidP="00C918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D5DB4" w:rsidRPr="00B23FB7" w:rsidRDefault="000D5DB4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5DB4" w:rsidRPr="00B23FB7" w:rsidRDefault="000D5DB4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5DB4" w:rsidRPr="00B23FB7" w:rsidTr="00445C54">
        <w:tc>
          <w:tcPr>
            <w:tcW w:w="1209" w:type="dxa"/>
            <w:vAlign w:val="center"/>
          </w:tcPr>
          <w:p w:rsidR="000D5DB4" w:rsidRPr="00B23FB7" w:rsidRDefault="000D5DB4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5DB4" w:rsidRPr="00B23FB7" w:rsidRDefault="000D5DB4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5DB4" w:rsidRPr="00B23FB7" w:rsidRDefault="000D5DB4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5DB4" w:rsidRPr="00B23FB7" w:rsidTr="00445C54">
        <w:tc>
          <w:tcPr>
            <w:tcW w:w="1209" w:type="dxa"/>
            <w:vAlign w:val="center"/>
          </w:tcPr>
          <w:p w:rsidR="000D5DB4" w:rsidRPr="00B23FB7" w:rsidRDefault="000D5DB4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5DB4" w:rsidRPr="00B23FB7" w:rsidRDefault="000D5DB4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5DB4" w:rsidRPr="00B23FB7" w:rsidRDefault="000D5DB4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5DB4" w:rsidRPr="00B23FB7" w:rsidRDefault="000D5DB4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5DB4" w:rsidRPr="00B23FB7" w:rsidTr="00445C54">
        <w:tc>
          <w:tcPr>
            <w:tcW w:w="1209" w:type="dxa"/>
            <w:vAlign w:val="center"/>
          </w:tcPr>
          <w:p w:rsidR="000D5DB4" w:rsidRPr="00B23FB7" w:rsidRDefault="000D5DB4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5DB4" w:rsidRDefault="000D5DB4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5DB4" w:rsidRPr="00B23FB7" w:rsidRDefault="000D5DB4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5DB4" w:rsidRPr="00B23FB7" w:rsidRDefault="000D5DB4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5DB4" w:rsidRPr="00B23FB7" w:rsidTr="003613BD">
        <w:trPr>
          <w:trHeight w:val="425"/>
        </w:trPr>
        <w:tc>
          <w:tcPr>
            <w:tcW w:w="1209" w:type="dxa"/>
            <w:vAlign w:val="center"/>
          </w:tcPr>
          <w:p w:rsidR="000D5DB4" w:rsidRPr="00936E7B" w:rsidRDefault="000D5DB4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0D5DB4" w:rsidRDefault="000D5DB4" w:rsidP="00EE0E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D5DB4" w:rsidRDefault="000D5DB4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5DB4" w:rsidRPr="00B23FB7" w:rsidRDefault="000D5DB4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5DB4" w:rsidRPr="00B23FB7" w:rsidRDefault="000D5DB4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5DB4" w:rsidRPr="00B23FB7" w:rsidTr="003613BD">
        <w:trPr>
          <w:trHeight w:val="425"/>
        </w:trPr>
        <w:tc>
          <w:tcPr>
            <w:tcW w:w="1209" w:type="dxa"/>
            <w:vAlign w:val="center"/>
          </w:tcPr>
          <w:p w:rsidR="000D5DB4" w:rsidRPr="00936E7B" w:rsidRDefault="000D5DB4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0D5DB4" w:rsidRDefault="000D5DB4" w:rsidP="00EE0E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D5DB4" w:rsidRDefault="000D5DB4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5DB4" w:rsidRPr="00B23FB7" w:rsidRDefault="000D5DB4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5DB4" w:rsidRPr="00B23FB7" w:rsidRDefault="000D5DB4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5DB4" w:rsidRPr="00B23FB7" w:rsidRDefault="000D5D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34A41" w:rsidRDefault="00334A41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938AE" w:rsidRDefault="003938AE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938AE" w:rsidRDefault="003938AE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938AE" w:rsidRDefault="003938AE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938AE" w:rsidRDefault="003938AE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938AE" w:rsidRDefault="003938AE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938AE" w:rsidRDefault="003938AE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938AE" w:rsidRDefault="003938AE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938AE" w:rsidRDefault="003938AE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938AE" w:rsidRDefault="003938AE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938AE" w:rsidRDefault="003938AE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938AE" w:rsidRPr="0020390B" w:rsidRDefault="003938AE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3938A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 w:rsidP="00B37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 w:rsidP="00B37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3938A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3938AE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3938AE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3938AE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8AE" w:rsidRPr="00B1560E" w:rsidRDefault="0039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2"/>
  </w:num>
  <w:num w:numId="5">
    <w:abstractNumId w:val="24"/>
  </w:num>
  <w:num w:numId="6">
    <w:abstractNumId w:val="0"/>
  </w:num>
  <w:num w:numId="7">
    <w:abstractNumId w:val="25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8"/>
  </w:num>
  <w:num w:numId="13">
    <w:abstractNumId w:val="23"/>
  </w:num>
  <w:num w:numId="14">
    <w:abstractNumId w:val="10"/>
  </w:num>
  <w:num w:numId="15">
    <w:abstractNumId w:val="8"/>
  </w:num>
  <w:num w:numId="16">
    <w:abstractNumId w:val="21"/>
  </w:num>
  <w:num w:numId="17">
    <w:abstractNumId w:val="16"/>
  </w:num>
  <w:num w:numId="18">
    <w:abstractNumId w:val="26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8"/>
  </w:num>
  <w:num w:numId="23">
    <w:abstractNumId w:val="14"/>
  </w:num>
  <w:num w:numId="24">
    <w:abstractNumId w:val="6"/>
  </w:num>
  <w:num w:numId="25">
    <w:abstractNumId w:val="17"/>
  </w:num>
  <w:num w:numId="26">
    <w:abstractNumId w:val="19"/>
  </w:num>
  <w:num w:numId="27">
    <w:abstractNumId w:val="1"/>
  </w:num>
  <w:num w:numId="28">
    <w:abstractNumId w:val="29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07780"/>
    <w:rsid w:val="00011631"/>
    <w:rsid w:val="0001333F"/>
    <w:rsid w:val="0003597A"/>
    <w:rsid w:val="000718A0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D5DB4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61F08"/>
    <w:rsid w:val="00270E9E"/>
    <w:rsid w:val="00274685"/>
    <w:rsid w:val="002C3853"/>
    <w:rsid w:val="002D0441"/>
    <w:rsid w:val="002D24D9"/>
    <w:rsid w:val="003010C1"/>
    <w:rsid w:val="00324E6B"/>
    <w:rsid w:val="00334A41"/>
    <w:rsid w:val="003372AB"/>
    <w:rsid w:val="003457A3"/>
    <w:rsid w:val="00347081"/>
    <w:rsid w:val="003613BD"/>
    <w:rsid w:val="00386B88"/>
    <w:rsid w:val="003913A3"/>
    <w:rsid w:val="003938AE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520E7"/>
    <w:rsid w:val="00575498"/>
    <w:rsid w:val="0059373C"/>
    <w:rsid w:val="005C63B3"/>
    <w:rsid w:val="005E1F40"/>
    <w:rsid w:val="005F2732"/>
    <w:rsid w:val="005F4F40"/>
    <w:rsid w:val="00613899"/>
    <w:rsid w:val="0065012D"/>
    <w:rsid w:val="006549DE"/>
    <w:rsid w:val="00662E69"/>
    <w:rsid w:val="00664D97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04154"/>
    <w:rsid w:val="008304BE"/>
    <w:rsid w:val="00831315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90043D"/>
    <w:rsid w:val="00913A0F"/>
    <w:rsid w:val="0092399E"/>
    <w:rsid w:val="00936E7B"/>
    <w:rsid w:val="009562C2"/>
    <w:rsid w:val="00965BDD"/>
    <w:rsid w:val="009705B1"/>
    <w:rsid w:val="00983338"/>
    <w:rsid w:val="00990258"/>
    <w:rsid w:val="009B1B25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B7CDE"/>
    <w:rsid w:val="00AE0304"/>
    <w:rsid w:val="00B038F5"/>
    <w:rsid w:val="00B1560E"/>
    <w:rsid w:val="00B23FB7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25315"/>
    <w:rsid w:val="00E32D3C"/>
    <w:rsid w:val="00E33647"/>
    <w:rsid w:val="00E61DA3"/>
    <w:rsid w:val="00E75EF6"/>
    <w:rsid w:val="00EB33D7"/>
    <w:rsid w:val="00EB431D"/>
    <w:rsid w:val="00EB5E45"/>
    <w:rsid w:val="00EC75D3"/>
    <w:rsid w:val="00EE3098"/>
    <w:rsid w:val="00EE6BCA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11</cp:revision>
  <dcterms:created xsi:type="dcterms:W3CDTF">2023-11-25T22:44:00Z</dcterms:created>
  <dcterms:modified xsi:type="dcterms:W3CDTF">2023-11-27T21:58:00Z</dcterms:modified>
</cp:coreProperties>
</file>