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28"/>
        <w:gridCol w:w="241"/>
        <w:gridCol w:w="1343"/>
        <w:gridCol w:w="1105"/>
        <w:gridCol w:w="1002"/>
        <w:gridCol w:w="857"/>
        <w:gridCol w:w="1336"/>
        <w:gridCol w:w="872"/>
      </w:tblGrid>
      <w:tr w:rsidR="00A770A0" w:rsidRPr="00B23FB7" w:rsidTr="00180319">
        <w:trPr>
          <w:trHeight w:val="303"/>
          <w:jc w:val="center"/>
        </w:trPr>
        <w:tc>
          <w:tcPr>
            <w:tcW w:w="4577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5DEFF09" wp14:editId="36EADB8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F3B888" wp14:editId="22FB1CFD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2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180319">
        <w:trPr>
          <w:trHeight w:val="153"/>
          <w:jc w:val="center"/>
        </w:trPr>
        <w:tc>
          <w:tcPr>
            <w:tcW w:w="4577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4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180319">
        <w:trPr>
          <w:trHeight w:val="36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0D3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ALP_AP_</w:t>
            </w:r>
            <w:r w:rsidR="0089330C">
              <w:rPr>
                <w:rFonts w:ascii="Times New Roman" w:hAnsi="Times New Roman" w:cs="Times New Roman"/>
                <w:b/>
              </w:rPr>
              <w:t>60</w:t>
            </w:r>
            <w:r w:rsidR="000D3EB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180319">
        <w:trPr>
          <w:trHeight w:val="42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0D3EB9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0D3EB9">
              <w:rPr>
                <w:rFonts w:ascii="Times New Roman" w:eastAsia="Calibri" w:hAnsi="Times New Roman" w:cs="Times New Roman"/>
                <w:b/>
                <w:caps/>
              </w:rPr>
              <w:t>Zagospodarowanie przestrzenne</w:t>
            </w:r>
          </w:p>
        </w:tc>
      </w:tr>
      <w:tr w:rsidR="00261F08" w:rsidRPr="00B23FB7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180319">
        <w:trPr>
          <w:trHeight w:val="40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180319">
        <w:trPr>
          <w:trHeight w:val="427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180319">
        <w:trPr>
          <w:trHeight w:val="40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180319">
        <w:trPr>
          <w:trHeight w:val="42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180319">
        <w:trPr>
          <w:trHeight w:val="702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180319">
        <w:trPr>
          <w:trHeight w:val="40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180319">
        <w:trPr>
          <w:trHeight w:val="42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180319">
        <w:trPr>
          <w:trHeight w:val="412"/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180319">
        <w:trPr>
          <w:trHeight w:val="41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180319">
        <w:trPr>
          <w:trHeight w:val="42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180319">
        <w:trPr>
          <w:trHeight w:val="41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9645B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180319">
        <w:trPr>
          <w:trHeight w:val="49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180319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180319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784581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784581" w:rsidRDefault="00784581"/>
    <w:tbl>
      <w:tblPr>
        <w:tblW w:w="97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6756"/>
      </w:tblGrid>
      <w:tr w:rsidR="00A770A0" w:rsidRPr="00B23FB7" w:rsidTr="00180319">
        <w:trPr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180319" w:rsidRPr="00B23FB7" w:rsidTr="00180319">
        <w:trPr>
          <w:jc w:val="center"/>
        </w:trPr>
        <w:tc>
          <w:tcPr>
            <w:tcW w:w="2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319" w:rsidRPr="00B23FB7" w:rsidRDefault="00180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D8C" w:rsidRPr="00042D8C" w:rsidRDefault="00042D8C" w:rsidP="00042D8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042D8C">
              <w:rPr>
                <w:rFonts w:ascii="Times New Roman" w:hAnsi="Times New Roman"/>
                <w:szCs w:val="18"/>
              </w:rPr>
              <w:t>Domańs</w:t>
            </w:r>
            <w:r>
              <w:rPr>
                <w:rFonts w:ascii="Times New Roman" w:hAnsi="Times New Roman"/>
                <w:szCs w:val="18"/>
              </w:rPr>
              <w:t xml:space="preserve">ki R., </w:t>
            </w:r>
            <w:r w:rsidRPr="00042D8C">
              <w:rPr>
                <w:rFonts w:ascii="Times New Roman" w:hAnsi="Times New Roman"/>
                <w:i/>
                <w:szCs w:val="18"/>
              </w:rPr>
              <w:t>Gospodarka przestrzenna</w:t>
            </w:r>
            <w:r>
              <w:rPr>
                <w:rFonts w:ascii="Times New Roman" w:hAnsi="Times New Roman"/>
                <w:szCs w:val="18"/>
              </w:rPr>
              <w:t xml:space="preserve">, </w:t>
            </w:r>
            <w:r w:rsidRPr="00042D8C">
              <w:rPr>
                <w:rFonts w:ascii="Times New Roman" w:hAnsi="Times New Roman"/>
                <w:szCs w:val="18"/>
              </w:rPr>
              <w:t>2006.</w:t>
            </w:r>
          </w:p>
          <w:p w:rsidR="00042D8C" w:rsidRPr="00042D8C" w:rsidRDefault="00042D8C" w:rsidP="00042D8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042D8C">
              <w:rPr>
                <w:rFonts w:ascii="Times New Roman" w:hAnsi="Times New Roman"/>
                <w:szCs w:val="18"/>
              </w:rPr>
              <w:t xml:space="preserve">Jałowiecki B., </w:t>
            </w:r>
            <w:r w:rsidRPr="00042D8C">
              <w:rPr>
                <w:rFonts w:ascii="Times New Roman" w:hAnsi="Times New Roman"/>
                <w:i/>
                <w:szCs w:val="18"/>
              </w:rPr>
              <w:t>Społeczne wytwarzanie przestrzeni</w:t>
            </w:r>
            <w:r w:rsidRPr="00042D8C">
              <w:rPr>
                <w:rFonts w:ascii="Times New Roman" w:hAnsi="Times New Roman"/>
                <w:szCs w:val="18"/>
              </w:rPr>
              <w:t>., 2010</w:t>
            </w:r>
          </w:p>
          <w:p w:rsidR="00180319" w:rsidRPr="00180319" w:rsidRDefault="00042D8C" w:rsidP="00042D8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kern w:val="36"/>
                <w:szCs w:val="18"/>
              </w:rPr>
            </w:pPr>
            <w:proofErr w:type="spellStart"/>
            <w:r w:rsidRPr="00042D8C">
              <w:rPr>
                <w:rFonts w:ascii="Times New Roman" w:hAnsi="Times New Roman"/>
                <w:szCs w:val="18"/>
              </w:rPr>
              <w:t>Karwińska</w:t>
            </w:r>
            <w:proofErr w:type="spellEnd"/>
            <w:r w:rsidRPr="00042D8C">
              <w:rPr>
                <w:rFonts w:ascii="Times New Roman" w:hAnsi="Times New Roman"/>
                <w:szCs w:val="18"/>
              </w:rPr>
              <w:t xml:space="preserve"> A., </w:t>
            </w:r>
            <w:r w:rsidRPr="00042D8C">
              <w:rPr>
                <w:rFonts w:ascii="Times New Roman" w:hAnsi="Times New Roman"/>
                <w:i/>
                <w:szCs w:val="18"/>
              </w:rPr>
              <w:t>Gospodarka przestrzenna</w:t>
            </w:r>
            <w:r w:rsidRPr="00042D8C">
              <w:rPr>
                <w:rFonts w:ascii="Times New Roman" w:hAnsi="Times New Roman"/>
                <w:szCs w:val="18"/>
              </w:rPr>
              <w:t>, 2008.</w:t>
            </w:r>
          </w:p>
        </w:tc>
      </w:tr>
      <w:tr w:rsidR="00180319" w:rsidRPr="00B23FB7" w:rsidTr="00180319">
        <w:trPr>
          <w:jc w:val="center"/>
        </w:trPr>
        <w:tc>
          <w:tcPr>
            <w:tcW w:w="2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319" w:rsidRPr="00B23FB7" w:rsidRDefault="00180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D8C" w:rsidRPr="00042D8C" w:rsidRDefault="00042D8C" w:rsidP="00042D8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</w:t>
            </w:r>
            <w:r w:rsidRPr="00042D8C">
              <w:rPr>
                <w:rFonts w:ascii="Times New Roman" w:hAnsi="Times New Roman"/>
                <w:szCs w:val="18"/>
              </w:rPr>
              <w:t xml:space="preserve">arysek J.J., </w:t>
            </w:r>
            <w:r w:rsidRPr="00042D8C">
              <w:rPr>
                <w:rFonts w:ascii="Times New Roman" w:hAnsi="Times New Roman"/>
                <w:i/>
                <w:szCs w:val="18"/>
              </w:rPr>
              <w:t>Wprowadzenie do gospodarki przestrzennej</w:t>
            </w:r>
            <w:r w:rsidRPr="00042D8C">
              <w:rPr>
                <w:rFonts w:ascii="Times New Roman" w:hAnsi="Times New Roman"/>
                <w:szCs w:val="18"/>
              </w:rPr>
              <w:t>, 2006.</w:t>
            </w:r>
          </w:p>
          <w:p w:rsidR="00042D8C" w:rsidRPr="00042D8C" w:rsidRDefault="00042D8C" w:rsidP="00042D8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042D8C">
              <w:rPr>
                <w:rFonts w:ascii="Times New Roman" w:hAnsi="Times New Roman"/>
                <w:szCs w:val="18"/>
              </w:rPr>
              <w:t>Korenik</w:t>
            </w:r>
            <w:proofErr w:type="spellEnd"/>
            <w:r w:rsidRPr="00042D8C">
              <w:rPr>
                <w:rFonts w:ascii="Times New Roman" w:hAnsi="Times New Roman"/>
                <w:szCs w:val="18"/>
              </w:rPr>
              <w:t xml:space="preserve"> S., Słodczyk J. (red.), </w:t>
            </w:r>
            <w:r w:rsidRPr="000A3C38">
              <w:rPr>
                <w:rFonts w:ascii="Times New Roman" w:hAnsi="Times New Roman"/>
                <w:i/>
                <w:szCs w:val="18"/>
              </w:rPr>
              <w:t>Podstawy gospodarki przestrzennej – wybrane aspekty</w:t>
            </w:r>
            <w:r w:rsidRPr="00042D8C">
              <w:rPr>
                <w:rFonts w:ascii="Times New Roman" w:hAnsi="Times New Roman"/>
                <w:szCs w:val="18"/>
              </w:rPr>
              <w:t>, 2005.</w:t>
            </w:r>
          </w:p>
          <w:p w:rsidR="00180319" w:rsidRPr="000A3C38" w:rsidRDefault="00042D8C" w:rsidP="000A3C3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042D8C">
              <w:rPr>
                <w:rFonts w:ascii="Times New Roman" w:hAnsi="Times New Roman"/>
                <w:szCs w:val="18"/>
              </w:rPr>
              <w:t xml:space="preserve">Gaczek W. M., </w:t>
            </w:r>
            <w:r w:rsidRPr="000A3C38">
              <w:rPr>
                <w:rFonts w:ascii="Times New Roman" w:hAnsi="Times New Roman"/>
                <w:i/>
                <w:szCs w:val="18"/>
              </w:rPr>
              <w:t>Zarządzanie w gospodarce przestrzennej</w:t>
            </w:r>
            <w:r w:rsidRPr="00042D8C">
              <w:rPr>
                <w:rFonts w:ascii="Times New Roman" w:hAnsi="Times New Roman"/>
                <w:szCs w:val="18"/>
              </w:rPr>
              <w:t>, 2003.</w:t>
            </w:r>
          </w:p>
        </w:tc>
      </w:tr>
    </w:tbl>
    <w:p w:rsidR="00261F08" w:rsidRPr="00B23FB7" w:rsidRDefault="00261F08" w:rsidP="00784581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0D3EB9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EB9" w:rsidRPr="00B1560E" w:rsidRDefault="000D3EB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EB9" w:rsidRPr="000D3EB9" w:rsidRDefault="000D3EB9" w:rsidP="000D3EB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D3EB9">
              <w:rPr>
                <w:rFonts w:ascii="Times New Roman" w:hAnsi="Times New Roman" w:cs="Times New Roman"/>
                <w:szCs w:val="20"/>
              </w:rPr>
              <w:t>Ukazanie złożoności planowania przestrzennego. Poznanie współzależności Pomiędzy rozwiązaniami projektowymi w różnych skalach planistycznych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3EB9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EB9" w:rsidRPr="00B1560E" w:rsidRDefault="000D3EB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EB9" w:rsidRPr="000D3EB9" w:rsidRDefault="000D3EB9" w:rsidP="000D3EB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D3EB9">
              <w:rPr>
                <w:rFonts w:ascii="Times New Roman" w:hAnsi="Times New Roman" w:cs="Times New Roman"/>
                <w:szCs w:val="20"/>
              </w:rPr>
              <w:t xml:space="preserve">Poznanie zasad dostosowania infrastruktury technicznej do poszczególnych sfer geograficznych kraju oraz do potrzeb </w:t>
            </w:r>
            <w:proofErr w:type="spellStart"/>
            <w:r w:rsidRPr="000D3EB9">
              <w:rPr>
                <w:rFonts w:ascii="Times New Roman" w:hAnsi="Times New Roman" w:cs="Times New Roman"/>
                <w:szCs w:val="20"/>
              </w:rPr>
              <w:t>społeczno</w:t>
            </w:r>
            <w:proofErr w:type="spellEnd"/>
            <w:r w:rsidRPr="000D3EB9">
              <w:rPr>
                <w:rFonts w:ascii="Times New Roman" w:hAnsi="Times New Roman" w:cs="Times New Roman"/>
                <w:szCs w:val="20"/>
              </w:rPr>
              <w:t xml:space="preserve"> – gospodarczych z uwzględnieniem obszarów chronionych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3EB9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EB9" w:rsidRPr="00B1560E" w:rsidRDefault="000D3EB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EB9" w:rsidRPr="000D3EB9" w:rsidRDefault="000D3EB9" w:rsidP="000D3EB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D3EB9">
              <w:rPr>
                <w:rFonts w:ascii="Times New Roman" w:hAnsi="Times New Roman" w:cs="Times New Roman"/>
                <w:szCs w:val="20"/>
              </w:rPr>
              <w:t>Opanowanie podstaw planowania urządzeń terenowych , obiektów architektonicznych, jak też założeń urbanistycznych w mieście oraz na wsi ze szczególnym uwzględnieniem zasad kompozycji urbanistycznej oraz równoważenia i harmonizowania rozwoju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3EB9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EB9" w:rsidRDefault="000D3EB9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EB9" w:rsidRPr="000D3EB9" w:rsidRDefault="000D3EB9" w:rsidP="000D3EB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D3EB9">
              <w:rPr>
                <w:rFonts w:ascii="Times New Roman" w:hAnsi="Times New Roman" w:cs="Times New Roman"/>
                <w:szCs w:val="20"/>
              </w:rPr>
              <w:t>Opanowanie umiejętności gromadzenia i przetwarzania informacji dotyczących rozwoju przestrzennej struktury urbanistycznej oraz zapisywania ustaleń w dokumentach planistycznych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 w:rsidP="00784581">
      <w:pPr>
        <w:spacing w:after="0"/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FBC" w:rsidRPr="007F0FBC" w:rsidRDefault="007F0FBC" w:rsidP="007F0F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Ustrój administracji publicznej. Zagadnienie przestrzenne.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Podział administracyjny kraju w ujęciu historycznym Podstawowe tendencje w zakresie regionalizacji.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Plan przestrzennego zagospodarowania kraju.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Projektowanie rozwoju gminy, powiatu, województwa.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Strategia rozwoju województwa, jako narzędzie planistyczne Krótkookresowe i średniookresowe programy rozwoju.</w:t>
            </w:r>
          </w:p>
          <w:p w:rsidR="009D629F" w:rsidRPr="00784581" w:rsidRDefault="007F0FBC" w:rsidP="0078458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Programy gospodarcze samorządu terytorialnego. Projekcje finansowe samorządu terytorialnego.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FBC" w:rsidRPr="007F0FBC" w:rsidRDefault="007F0FBC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Projekcje dochod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ów. Projekcje długu publicznego –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Planowanie inwestycji samorządowych. Średniookresowy potencjał inwestycyjny samorządów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-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Ograniczenia roz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woju samorządów. Modele rozwoju -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F0FBC" w:rsidRPr="007F0FBC" w:rsidRDefault="00E10975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Program NATURA 2000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F0FBC" w:rsidRPr="007F0FBC" w:rsidRDefault="007F0FBC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współfinansowania rozwoju ze środków zewnętrznych</w:t>
            </w:r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- </w:t>
            </w:r>
            <w:proofErr w:type="spellStart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F0FBC" w:rsidRDefault="007F0FBC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F0FBC">
              <w:rPr>
                <w:rFonts w:ascii="Times New Roman" w:eastAsia="MS Mincho" w:hAnsi="Times New Roman" w:cs="Times New Roman"/>
                <w:szCs w:val="20"/>
                <w:lang w:eastAsia="ja-JP"/>
              </w:rPr>
              <w:t>Kierunki</w:t>
            </w:r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zmian przestrzeni samorządowej - </w:t>
            </w:r>
            <w:proofErr w:type="spellStart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 w:rsidR="00E10975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152AF" w:rsidRPr="00180319" w:rsidRDefault="00856E3B" w:rsidP="007F0FB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  <w:r w:rsid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6D4C18" w:rsidRPr="001D18F7" w:rsidTr="00CC5333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4C18" w:rsidRPr="000D3EB9" w:rsidRDefault="006D4C18" w:rsidP="005F37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D3EB9">
              <w:rPr>
                <w:rFonts w:ascii="Times New Roman" w:hAnsi="Times New Roman" w:cs="Times New Roman"/>
                <w:szCs w:val="20"/>
              </w:rPr>
              <w:t xml:space="preserve">Ma uporządkowana wiedzę szczegółową i rozumie główne teorie oraz podstawowe metodologie w obrębie pokrewnych </w:t>
            </w:r>
            <w:r>
              <w:rPr>
                <w:rFonts w:ascii="Times New Roman" w:hAnsi="Times New Roman" w:cs="Times New Roman"/>
                <w:szCs w:val="20"/>
              </w:rPr>
              <w:t>zagospodarowania przestrzennego i jego roli dla funkcjonowania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6D4C18" w:rsidRPr="001D18F7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D4C18" w:rsidRPr="001D18F7" w:rsidTr="00CC5333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4C18" w:rsidRPr="000D3EB9" w:rsidRDefault="006D4C18" w:rsidP="005F37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D3EB9">
              <w:rPr>
                <w:rFonts w:ascii="Times New Roman" w:hAnsi="Times New Roman" w:cs="Times New Roman"/>
                <w:szCs w:val="20"/>
              </w:rPr>
              <w:t>Ma uporządkowana wiedzę szczegółową o kategoriach prawnych i zasadach działania głównych podmiotów w sferze publicznej i obrocie gospodarczym i gospodarce przestrzennej.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784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6D4C18" w:rsidRPr="001D18F7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D4C18" w:rsidRPr="001D18F7" w:rsidTr="00DA6F2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4C18" w:rsidRPr="00180319" w:rsidRDefault="006D4C18" w:rsidP="00784581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 xml:space="preserve">ma wiedzę pozwalająca na scharakteryzowanie instytucji </w:t>
            </w:r>
            <w:r>
              <w:rPr>
                <w:rFonts w:ascii="Times New Roman" w:hAnsi="Times New Roman" w:cs="Times New Roman"/>
                <w:szCs w:val="18"/>
              </w:rPr>
              <w:t>administracji realizujących zadania z zakresu zagospodarowania przestrzennego.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784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Pr="001D18F7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C18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6D4C18" w:rsidRPr="001D18F7" w:rsidRDefault="006D4C1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8458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84581" w:rsidRPr="001D18F7" w:rsidTr="002243EB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5F373D" w:rsidRDefault="00784581" w:rsidP="005F37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Posiada</w:t>
            </w:r>
            <w:r w:rsidRPr="005F373D">
              <w:rPr>
                <w:rFonts w:ascii="Times New Roman" w:hAnsi="Times New Roman" w:cs="Times New Roman"/>
                <w:szCs w:val="20"/>
              </w:rPr>
              <w:t xml:space="preserve"> umiejętności badawcze obejmujące formułowanie i analizę problemów badawczych, opracowanie i prezentację wyników pozwalających na rozwiązywanie problemów w zakresie </w:t>
            </w:r>
            <w:r>
              <w:rPr>
                <w:rFonts w:ascii="Times New Roman" w:hAnsi="Times New Roman" w:cs="Times New Roman"/>
                <w:szCs w:val="18"/>
              </w:rPr>
              <w:t>zagospodarowania przestrzennego</w:t>
            </w:r>
            <w:r w:rsidRPr="005F373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84581" w:rsidRPr="001D18F7" w:rsidTr="002243EB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5F373D" w:rsidRDefault="00784581" w:rsidP="005F37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F373D">
              <w:rPr>
                <w:rFonts w:ascii="Times New Roman" w:hAnsi="Times New Roman" w:cs="Times New Roman"/>
                <w:szCs w:val="20"/>
              </w:rPr>
              <w:t>Posiada umiejętności wykorzystywania aktów normatywnych do wyjaśniania zjawisk i procesów zachodzących w administracji publicznej i gospodarce przestrzennej.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84581" w:rsidRPr="001D18F7" w:rsidTr="0093663B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4581" w:rsidRPr="00180319" w:rsidRDefault="00784581" w:rsidP="005F37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Posiada umiejętność poszerzania posiadanych już kwalifikacji i ich uzupełniania w zakresie zagospodarowania przestrzennego.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84581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84581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7F0FBC" w:rsidRDefault="00784581" w:rsidP="007F0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F0FBC">
              <w:rPr>
                <w:rFonts w:ascii="Times New Roman" w:hAnsi="Times New Roman" w:cs="Times New Roman"/>
                <w:szCs w:val="20"/>
              </w:rPr>
              <w:t>Ma świadomość znaczenia organizowania, planowania, motywowania, kierowania rozwojem lokalnym i kontroli we współczesnej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784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784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784581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4581" w:rsidRPr="007F0FBC" w:rsidRDefault="00784581" w:rsidP="007F0F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F0FBC">
              <w:rPr>
                <w:rFonts w:ascii="Times New Roman" w:hAnsi="Times New Roman" w:cs="Times New Roman"/>
                <w:szCs w:val="20"/>
              </w:rPr>
              <w:t>rozumie potrzebę ciągłego dokształcania i aktualizowania wiedzy z zakresu nauki o administracji, wyznacza ścieżkę własnego rozwoju, doskonalenia umiejętności oraz kompetencji.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581" w:rsidRPr="001D18F7" w:rsidRDefault="0078458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B3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7B384F">
              <w:rPr>
                <w:rFonts w:ascii="Times New Roman" w:eastAsia="Calibri" w:hAnsi="Times New Roman" w:cs="Times New Roman"/>
                <w:szCs w:val="18"/>
              </w:rPr>
              <w:t>zagospodarowania przestrzennego.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B384F">
              <w:rPr>
                <w:rFonts w:ascii="Times New Roman" w:eastAsia="Calibri" w:hAnsi="Times New Roman" w:cs="Times New Roman"/>
                <w:szCs w:val="18"/>
              </w:rPr>
              <w:t>zagospodarowania przestrzennego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7B384F">
              <w:rPr>
                <w:rFonts w:ascii="Times New Roman" w:eastAsia="Calibri" w:hAnsi="Times New Roman" w:cs="Times New Roman"/>
                <w:szCs w:val="18"/>
              </w:rPr>
              <w:t>zagospodarowania przestrzennego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7B384F">
              <w:rPr>
                <w:rFonts w:ascii="Times New Roman" w:eastAsia="Calibri" w:hAnsi="Times New Roman" w:cs="Times New Roman"/>
                <w:szCs w:val="18"/>
              </w:rPr>
              <w:t>zagospodarowania przestrzennego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7B384F">
              <w:rPr>
                <w:rFonts w:ascii="Times New Roman" w:eastAsia="Calibri" w:hAnsi="Times New Roman" w:cs="Times New Roman"/>
                <w:szCs w:val="18"/>
              </w:rPr>
              <w:t>zagospodarowania przestrzennego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B3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7B384F">
              <w:rPr>
                <w:rFonts w:ascii="Times New Roman" w:eastAsia="Calibri" w:hAnsi="Times New Roman" w:cs="Times New Roman"/>
                <w:szCs w:val="18"/>
              </w:rPr>
              <w:t>zagospodarowaniem przestrzennym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640EBD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640EBD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78458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78458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784581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784581" w:rsidRPr="00B23FB7" w:rsidTr="00445C54">
        <w:tc>
          <w:tcPr>
            <w:tcW w:w="1209" w:type="dxa"/>
            <w:vAlign w:val="center"/>
          </w:tcPr>
          <w:p w:rsidR="00784581" w:rsidRPr="00B23FB7" w:rsidRDefault="0078458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445C54">
        <w:tc>
          <w:tcPr>
            <w:tcW w:w="1209" w:type="dxa"/>
            <w:vAlign w:val="center"/>
          </w:tcPr>
          <w:p w:rsidR="00784581" w:rsidRPr="00B23FB7" w:rsidRDefault="0078458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784581" w:rsidRPr="00B23FB7" w:rsidRDefault="0078458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445C54">
        <w:tc>
          <w:tcPr>
            <w:tcW w:w="1209" w:type="dxa"/>
            <w:vAlign w:val="center"/>
          </w:tcPr>
          <w:p w:rsidR="00784581" w:rsidRPr="00B23FB7" w:rsidRDefault="0078458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84581" w:rsidRPr="00B23FB7" w:rsidRDefault="0078458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445C54">
        <w:tc>
          <w:tcPr>
            <w:tcW w:w="1209" w:type="dxa"/>
            <w:vAlign w:val="center"/>
          </w:tcPr>
          <w:p w:rsidR="00784581" w:rsidRPr="00B23FB7" w:rsidRDefault="0078458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784581" w:rsidRPr="00B23FB7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84581" w:rsidRPr="00B23FB7" w:rsidRDefault="00784581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84581" w:rsidRPr="00B23FB7" w:rsidRDefault="0078458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445C54">
        <w:tc>
          <w:tcPr>
            <w:tcW w:w="1209" w:type="dxa"/>
            <w:vAlign w:val="center"/>
          </w:tcPr>
          <w:p w:rsidR="00784581" w:rsidRPr="00B23FB7" w:rsidRDefault="0078458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784581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84581" w:rsidRDefault="00784581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84581" w:rsidRPr="00B23FB7" w:rsidRDefault="0078458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3C11B3">
        <w:trPr>
          <w:trHeight w:val="256"/>
        </w:trPr>
        <w:tc>
          <w:tcPr>
            <w:tcW w:w="1209" w:type="dxa"/>
            <w:vAlign w:val="center"/>
          </w:tcPr>
          <w:p w:rsidR="00784581" w:rsidRPr="00936E7B" w:rsidRDefault="0078458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84581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84581" w:rsidRDefault="0078458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84581" w:rsidRPr="00B23FB7" w:rsidRDefault="0078458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581" w:rsidRPr="00B23FB7" w:rsidTr="003C11B3">
        <w:trPr>
          <w:trHeight w:val="233"/>
        </w:trPr>
        <w:tc>
          <w:tcPr>
            <w:tcW w:w="1209" w:type="dxa"/>
            <w:vAlign w:val="center"/>
          </w:tcPr>
          <w:p w:rsidR="00784581" w:rsidRPr="00936E7B" w:rsidRDefault="0078458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784581" w:rsidRDefault="00784581" w:rsidP="00EB49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84581" w:rsidRDefault="0078458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84581" w:rsidRPr="00B23FB7" w:rsidRDefault="00784581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84581" w:rsidRPr="00B23FB7" w:rsidRDefault="0078458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84581" w:rsidRPr="00B23FB7" w:rsidRDefault="0078458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3C11B3" w:rsidRPr="0020390B" w:rsidRDefault="003C11B3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9506A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506A1" w:rsidRPr="00B1560E" w:rsidRDefault="0095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506A1" w:rsidRPr="00B1560E" w:rsidRDefault="009506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506A1" w:rsidRPr="00B1560E" w:rsidRDefault="009506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9506A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506A1" w:rsidRPr="00B1560E" w:rsidRDefault="0095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506A1" w:rsidRPr="00B1560E" w:rsidRDefault="009506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506A1" w:rsidRPr="00B1560E" w:rsidRDefault="009506A1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5A0"/>
    <w:multiLevelType w:val="hybridMultilevel"/>
    <w:tmpl w:val="445629D4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0F21"/>
    <w:multiLevelType w:val="hybridMultilevel"/>
    <w:tmpl w:val="F88A6198"/>
    <w:lvl w:ilvl="0" w:tplc="00BC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0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7088"/>
    <w:multiLevelType w:val="hybridMultilevel"/>
    <w:tmpl w:val="AAF2B8CC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38B6"/>
    <w:multiLevelType w:val="hybridMultilevel"/>
    <w:tmpl w:val="C9F6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F1D26"/>
    <w:multiLevelType w:val="hybridMultilevel"/>
    <w:tmpl w:val="7CAAF3F6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30543"/>
    <w:multiLevelType w:val="hybridMultilevel"/>
    <w:tmpl w:val="1678512E"/>
    <w:lvl w:ilvl="0" w:tplc="8C5E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62D31"/>
    <w:multiLevelType w:val="hybridMultilevel"/>
    <w:tmpl w:val="8D0C878E"/>
    <w:lvl w:ilvl="0" w:tplc="243A476C">
      <w:start w:val="1"/>
      <w:numFmt w:val="decimal"/>
      <w:lvlText w:val="%1."/>
      <w:lvlJc w:val="left"/>
      <w:pPr>
        <w:ind w:left="73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13367"/>
    <w:multiLevelType w:val="hybridMultilevel"/>
    <w:tmpl w:val="8D0C878E"/>
    <w:lvl w:ilvl="0" w:tplc="243A476C">
      <w:start w:val="1"/>
      <w:numFmt w:val="decimal"/>
      <w:lvlText w:val="%1."/>
      <w:lvlJc w:val="left"/>
      <w:pPr>
        <w:ind w:left="73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8"/>
  </w:num>
  <w:num w:numId="5">
    <w:abstractNumId w:val="31"/>
  </w:num>
  <w:num w:numId="6">
    <w:abstractNumId w:val="0"/>
  </w:num>
  <w:num w:numId="7">
    <w:abstractNumId w:val="33"/>
  </w:num>
  <w:num w:numId="8">
    <w:abstractNumId w:val="3"/>
  </w:num>
  <w:num w:numId="9">
    <w:abstractNumId w:val="11"/>
  </w:num>
  <w:num w:numId="10">
    <w:abstractNumId w:val="26"/>
  </w:num>
  <w:num w:numId="11">
    <w:abstractNumId w:val="19"/>
  </w:num>
  <w:num w:numId="12">
    <w:abstractNumId w:val="36"/>
  </w:num>
  <w:num w:numId="13">
    <w:abstractNumId w:val="30"/>
  </w:num>
  <w:num w:numId="14">
    <w:abstractNumId w:val="12"/>
  </w:num>
  <w:num w:numId="15">
    <w:abstractNumId w:val="10"/>
  </w:num>
  <w:num w:numId="16">
    <w:abstractNumId w:val="27"/>
  </w:num>
  <w:num w:numId="17">
    <w:abstractNumId w:val="20"/>
  </w:num>
  <w:num w:numId="18">
    <w:abstractNumId w:val="34"/>
  </w:num>
  <w:num w:numId="19">
    <w:abstractNumId w:val="5"/>
  </w:num>
  <w:num w:numId="20">
    <w:abstractNumId w:val="9"/>
    <w:lvlOverride w:ilvl="0">
      <w:startOverride w:val="1"/>
    </w:lvlOverride>
  </w:num>
  <w:num w:numId="21">
    <w:abstractNumId w:val="6"/>
  </w:num>
  <w:num w:numId="22">
    <w:abstractNumId w:val="23"/>
  </w:num>
  <w:num w:numId="23">
    <w:abstractNumId w:val="18"/>
  </w:num>
  <w:num w:numId="24">
    <w:abstractNumId w:val="8"/>
  </w:num>
  <w:num w:numId="25">
    <w:abstractNumId w:val="21"/>
  </w:num>
  <w:num w:numId="26">
    <w:abstractNumId w:val="24"/>
  </w:num>
  <w:num w:numId="27">
    <w:abstractNumId w:val="2"/>
  </w:num>
  <w:num w:numId="28">
    <w:abstractNumId w:val="37"/>
  </w:num>
  <w:num w:numId="29">
    <w:abstractNumId w:val="35"/>
  </w:num>
  <w:num w:numId="30">
    <w:abstractNumId w:val="16"/>
  </w:num>
  <w:num w:numId="31">
    <w:abstractNumId w:val="7"/>
  </w:num>
  <w:num w:numId="32">
    <w:abstractNumId w:val="25"/>
  </w:num>
  <w:num w:numId="33">
    <w:abstractNumId w:val="1"/>
  </w:num>
  <w:num w:numId="34">
    <w:abstractNumId w:val="17"/>
  </w:num>
  <w:num w:numId="35">
    <w:abstractNumId w:val="13"/>
  </w:num>
  <w:num w:numId="36">
    <w:abstractNumId w:val="29"/>
  </w:num>
  <w:num w:numId="37">
    <w:abstractNumId w:val="22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42D8C"/>
    <w:rsid w:val="00050EC0"/>
    <w:rsid w:val="000718A0"/>
    <w:rsid w:val="00073661"/>
    <w:rsid w:val="000762AC"/>
    <w:rsid w:val="00077C7A"/>
    <w:rsid w:val="000821A1"/>
    <w:rsid w:val="00085FCB"/>
    <w:rsid w:val="000868EA"/>
    <w:rsid w:val="000A3030"/>
    <w:rsid w:val="000A3C38"/>
    <w:rsid w:val="000B1713"/>
    <w:rsid w:val="000D12D0"/>
    <w:rsid w:val="000D3D31"/>
    <w:rsid w:val="000D3EB9"/>
    <w:rsid w:val="000D3EFF"/>
    <w:rsid w:val="000E3872"/>
    <w:rsid w:val="000E44C4"/>
    <w:rsid w:val="000E57A4"/>
    <w:rsid w:val="000F6BC8"/>
    <w:rsid w:val="00130FAB"/>
    <w:rsid w:val="001421B5"/>
    <w:rsid w:val="0016056A"/>
    <w:rsid w:val="00180319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A2C4D"/>
    <w:rsid w:val="003C11B3"/>
    <w:rsid w:val="003D0872"/>
    <w:rsid w:val="003E0F50"/>
    <w:rsid w:val="003E15D3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373D"/>
    <w:rsid w:val="005F4F40"/>
    <w:rsid w:val="00613899"/>
    <w:rsid w:val="00640EBD"/>
    <w:rsid w:val="0065012D"/>
    <w:rsid w:val="006549DE"/>
    <w:rsid w:val="00662E69"/>
    <w:rsid w:val="00664D97"/>
    <w:rsid w:val="006D4C18"/>
    <w:rsid w:val="00702159"/>
    <w:rsid w:val="00705399"/>
    <w:rsid w:val="007152AF"/>
    <w:rsid w:val="0071697D"/>
    <w:rsid w:val="00722DAB"/>
    <w:rsid w:val="0077565A"/>
    <w:rsid w:val="0077660B"/>
    <w:rsid w:val="007821CD"/>
    <w:rsid w:val="00782415"/>
    <w:rsid w:val="00784581"/>
    <w:rsid w:val="00794A09"/>
    <w:rsid w:val="007960DF"/>
    <w:rsid w:val="007A7D44"/>
    <w:rsid w:val="007B367C"/>
    <w:rsid w:val="007B384F"/>
    <w:rsid w:val="007C73EB"/>
    <w:rsid w:val="007D40BE"/>
    <w:rsid w:val="007E109D"/>
    <w:rsid w:val="007F0FBC"/>
    <w:rsid w:val="008304BE"/>
    <w:rsid w:val="00835B26"/>
    <w:rsid w:val="0084074D"/>
    <w:rsid w:val="008561F3"/>
    <w:rsid w:val="00856E3B"/>
    <w:rsid w:val="008600D6"/>
    <w:rsid w:val="008674ED"/>
    <w:rsid w:val="00871AB7"/>
    <w:rsid w:val="0089330C"/>
    <w:rsid w:val="00897224"/>
    <w:rsid w:val="008A2C76"/>
    <w:rsid w:val="008B38F6"/>
    <w:rsid w:val="0090043D"/>
    <w:rsid w:val="00913A0F"/>
    <w:rsid w:val="0092399E"/>
    <w:rsid w:val="00936E7B"/>
    <w:rsid w:val="009506A1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A69D7"/>
    <w:rsid w:val="00AB7CDE"/>
    <w:rsid w:val="00AE0304"/>
    <w:rsid w:val="00B038F5"/>
    <w:rsid w:val="00B1560E"/>
    <w:rsid w:val="00B23FB7"/>
    <w:rsid w:val="00B43DD8"/>
    <w:rsid w:val="00B5260E"/>
    <w:rsid w:val="00B762A5"/>
    <w:rsid w:val="00BA202B"/>
    <w:rsid w:val="00BA2DFB"/>
    <w:rsid w:val="00BA5EBD"/>
    <w:rsid w:val="00BB04C1"/>
    <w:rsid w:val="00BB4E34"/>
    <w:rsid w:val="00BB770C"/>
    <w:rsid w:val="00BC6218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314F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44747"/>
    <w:rsid w:val="00D8200F"/>
    <w:rsid w:val="00DC7A1B"/>
    <w:rsid w:val="00DF702C"/>
    <w:rsid w:val="00E10975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7670C"/>
    <w:rsid w:val="00F824A7"/>
    <w:rsid w:val="00F93C38"/>
    <w:rsid w:val="00F9645B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14</cp:revision>
  <dcterms:created xsi:type="dcterms:W3CDTF">2023-11-26T08:58:00Z</dcterms:created>
  <dcterms:modified xsi:type="dcterms:W3CDTF">2023-11-27T22:00:00Z</dcterms:modified>
</cp:coreProperties>
</file>