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2A73B83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2D35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19418D"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19418D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TAKTYKA I TECHNIKA KRYMINALISTYCZNA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76EEB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3507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trzeci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9418D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9418D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9418D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9418D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19418D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C0566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0566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C0566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C0566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0566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FB2725" w:rsidRPr="00C0566C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C0566C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FB2725" w:rsidRPr="00C0566C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C0566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0566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C0566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C0566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0566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C0566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C0566C" w:rsidRDefault="00BE32AD" w:rsidP="007D6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0566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7D6FCD" w:rsidRPr="00C0566C">
              <w:rPr>
                <w:rFonts w:ascii="Times New Roman" w:eastAsia="Calibri" w:hAnsi="Times New Roman" w:cs="Times New Roman"/>
                <w:sz w:val="20"/>
              </w:rPr>
              <w:t>, burza mózgów, dyskusja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0444F8" w:rsidRDefault="00EF410F" w:rsidP="00EF410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Moszczyński J., Gruza E., Goc M.,  </w:t>
            </w:r>
            <w:r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Kryminalistyka. Czyli o współczesnych metodach dowodzenia przestępstw</w:t>
            </w: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2020.</w:t>
            </w:r>
          </w:p>
          <w:p w:rsidR="00EF410F" w:rsidRPr="000444F8" w:rsidRDefault="00EF410F" w:rsidP="00EF410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Hołyst</w:t>
            </w:r>
            <w:proofErr w:type="spellEnd"/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Kryminalistyka</w:t>
            </w: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  <w:p w:rsidR="00EF410F" w:rsidRPr="000444F8" w:rsidRDefault="00EF410F" w:rsidP="000444F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Kasprzak J., Młodziejowski B., Kasprzak W., </w:t>
            </w:r>
            <w:r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Kryminalistyka. Zarys systemu</w:t>
            </w: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2015.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10F" w:rsidRPr="000444F8" w:rsidRDefault="000444F8" w:rsidP="00EF410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Horosiewicz</w:t>
            </w:r>
            <w:proofErr w:type="spellEnd"/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K., </w:t>
            </w:r>
            <w:r w:rsidR="00EF410F"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Współpraca policjantów z osobowymi źródłami informacji</w:t>
            </w: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="00EF410F"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Warszawa 2015</w:t>
            </w: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EF410F" w:rsidRPr="000444F8" w:rsidRDefault="000444F8" w:rsidP="000444F8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Bartnik M., Lis W., </w:t>
            </w:r>
            <w:r w:rsidR="00EF410F"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Leksykon kryminalistyki</w:t>
            </w: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="00EF410F"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Warszawa 2016</w:t>
            </w:r>
          </w:p>
          <w:p w:rsidR="00EF410F" w:rsidRPr="000444F8" w:rsidRDefault="000444F8" w:rsidP="00EF410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Hanausek</w:t>
            </w:r>
            <w:proofErr w:type="spellEnd"/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T.,  </w:t>
            </w:r>
            <w:proofErr w:type="spellStart"/>
            <w:r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Kryminalistyka.</w:t>
            </w:r>
            <w:r w:rsidR="00EF410F"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Zarys</w:t>
            </w:r>
            <w:proofErr w:type="spellEnd"/>
            <w:r w:rsidR="00EF410F"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F410F"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wykładu.</w:t>
            </w:r>
            <w:r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,</w:t>
            </w:r>
            <w:r w:rsidR="00EF410F"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Warszawa</w:t>
            </w:r>
            <w:proofErr w:type="spellEnd"/>
            <w:r w:rsidR="00EF410F"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2009.</w:t>
            </w:r>
          </w:p>
          <w:p w:rsidR="00F103A2" w:rsidRPr="000444F8" w:rsidRDefault="000444F8" w:rsidP="000444F8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Gliszczyński A.,</w:t>
            </w:r>
            <w:r w:rsidR="00EF410F"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EF410F" w:rsidRPr="000444F8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Rozpoznawanie predyspozycji przestępczych jako forma prewencji kryminalnej</w:t>
            </w:r>
            <w:r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="00EF410F" w:rsidRPr="000444F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Kraków 2017.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444F8" w:rsidRDefault="0021174F" w:rsidP="0021174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44F8">
              <w:rPr>
                <w:rFonts w:ascii="Times New Roman" w:hAnsi="Times New Roman" w:cs="Times New Roman"/>
                <w:sz w:val="20"/>
              </w:rPr>
              <w:t xml:space="preserve">Celem przedmiotu jest zapoznanie studentów z podstawami taktyki i techniki kryminalistycznej oraz nabycie umiejętności w zakresie metod stosowanych w procesie </w:t>
            </w:r>
            <w:proofErr w:type="spellStart"/>
            <w:r w:rsidRPr="000444F8">
              <w:rPr>
                <w:rFonts w:ascii="Times New Roman" w:hAnsi="Times New Roman" w:cs="Times New Roman"/>
                <w:sz w:val="20"/>
              </w:rPr>
              <w:t>wykrywczym</w:t>
            </w:r>
            <w:proofErr w:type="spellEnd"/>
            <w:r w:rsidRPr="000444F8">
              <w:rPr>
                <w:rFonts w:ascii="Times New Roman" w:hAnsi="Times New Roman" w:cs="Times New Roman"/>
                <w:sz w:val="20"/>
              </w:rPr>
              <w:t xml:space="preserve"> i dowodowym.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444F8" w:rsidRDefault="0021174F" w:rsidP="0021174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44F8">
              <w:rPr>
                <w:rFonts w:ascii="Times New Roman" w:hAnsi="Times New Roman" w:cs="Times New Roman"/>
                <w:sz w:val="20"/>
              </w:rPr>
              <w:t>Studenci powinni zdobyć wie</w:t>
            </w:r>
            <w:r w:rsidR="00EF410F" w:rsidRPr="000444F8">
              <w:rPr>
                <w:rFonts w:ascii="Times New Roman" w:hAnsi="Times New Roman" w:cs="Times New Roman"/>
                <w:sz w:val="20"/>
              </w:rPr>
              <w:t xml:space="preserve">dzę </w:t>
            </w:r>
            <w:proofErr w:type="spellStart"/>
            <w:r w:rsidR="00EF410F" w:rsidRPr="000444F8">
              <w:rPr>
                <w:rFonts w:ascii="Times New Roman" w:hAnsi="Times New Roman" w:cs="Times New Roman"/>
                <w:sz w:val="20"/>
              </w:rPr>
              <w:t>niezbędą</w:t>
            </w:r>
            <w:proofErr w:type="spellEnd"/>
            <w:r w:rsidR="00EF410F" w:rsidRPr="000444F8">
              <w:rPr>
                <w:rFonts w:ascii="Times New Roman" w:hAnsi="Times New Roman" w:cs="Times New Roman"/>
                <w:sz w:val="20"/>
              </w:rPr>
              <w:t xml:space="preserve">, aby z niej korzystać w czasie </w:t>
            </w:r>
            <w:r w:rsidRPr="000444F8">
              <w:rPr>
                <w:rFonts w:ascii="Times New Roman" w:hAnsi="Times New Roman" w:cs="Times New Roman"/>
                <w:sz w:val="20"/>
              </w:rPr>
              <w:t xml:space="preserve">działań rozpoznawczych, </w:t>
            </w:r>
            <w:proofErr w:type="spellStart"/>
            <w:r w:rsidRPr="000444F8">
              <w:rPr>
                <w:rFonts w:ascii="Times New Roman" w:hAnsi="Times New Roman" w:cs="Times New Roman"/>
                <w:sz w:val="20"/>
              </w:rPr>
              <w:t>wykrywczych</w:t>
            </w:r>
            <w:proofErr w:type="spellEnd"/>
            <w:r w:rsidRPr="000444F8">
              <w:rPr>
                <w:rFonts w:ascii="Times New Roman" w:hAnsi="Times New Roman" w:cs="Times New Roman"/>
                <w:sz w:val="20"/>
              </w:rPr>
              <w:t>, dowodowych i zapo</w:t>
            </w:r>
            <w:r w:rsidR="00EF410F" w:rsidRPr="000444F8">
              <w:rPr>
                <w:rFonts w:ascii="Times New Roman" w:hAnsi="Times New Roman" w:cs="Times New Roman"/>
                <w:sz w:val="20"/>
              </w:rPr>
              <w:t xml:space="preserve">biegawczych w celu ograniczania </w:t>
            </w:r>
            <w:r w:rsidR="000444F8">
              <w:rPr>
                <w:rFonts w:ascii="Times New Roman" w:hAnsi="Times New Roman" w:cs="Times New Roman"/>
                <w:sz w:val="20"/>
              </w:rPr>
              <w:br/>
            </w:r>
            <w:r w:rsidRPr="000444F8">
              <w:rPr>
                <w:rFonts w:ascii="Times New Roman" w:hAnsi="Times New Roman" w:cs="Times New Roman"/>
                <w:sz w:val="20"/>
              </w:rPr>
              <w:t>i zwalczania przestępczości</w:t>
            </w:r>
            <w:r w:rsidR="00EF410F" w:rsidRPr="000444F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1487"/>
        <w:gridCol w:w="5577"/>
      </w:tblGrid>
      <w:tr w:rsidR="00261F08" w:rsidRPr="00B1560E" w:rsidTr="0019418D">
        <w:tc>
          <w:tcPr>
            <w:tcW w:w="8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19418D"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19418D">
        <w:tc>
          <w:tcPr>
            <w:tcW w:w="189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19418D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1C01" w:rsidRPr="003B552E" w:rsidRDefault="00B11C01" w:rsidP="00B11C0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Przedmiot i charakterystyka taktyki i techniki kryminalistycznej jako wiodących działów współczesnej kryminalistyki.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czynności procesowych i operacyjno-rozpoznawczych.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Definicje podstawowych pojęć ze sfery dowodowej w procesie karnym: dowód, środki dowodowe, źródła dowodowe, osobowe i rzeczowe źródła dowodowe.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Wersje śledcze. 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Naczelne zasady taktyki kryminalistycznej. 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Funkcje taktyki kryminalistycznej. </w:t>
            </w:r>
          </w:p>
          <w:p w:rsidR="009D629F" w:rsidRPr="003B552E" w:rsidRDefault="00B11C01" w:rsidP="00B11C0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poszczególnych kategorii śladów kryminalistycznych.</w:t>
            </w:r>
          </w:p>
        </w:tc>
      </w:tr>
      <w:tr w:rsidR="00FC1054" w:rsidRPr="00B1560E" w:rsidTr="0019418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19418D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1C01" w:rsidRPr="003B552E" w:rsidRDefault="00794A09" w:rsidP="00B11C0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B11C01"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Źródła informacji w taktyce kryminalistycznej. 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Taktyka wykonywania czynności dowodowych. 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Przesłuchanie. 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Fazy przesłuchania, metody i taktyka przesłuchań. Przygotowanie do przesłuchania. 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Wiarygodność zeznań. 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Stadia przesłuchania. Szczegółowe formy przesłuchań (dzieci, osoby starsze, niepełnosprawne). 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Przesłuchanie konfrontacyjne.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Dokumentowanie czynności procesowych i </w:t>
            </w:r>
            <w:proofErr w:type="spellStart"/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pozaprocesowych</w:t>
            </w:r>
            <w:proofErr w:type="spellEnd"/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. </w:t>
            </w:r>
          </w:p>
          <w:p w:rsidR="00B11C01" w:rsidRPr="003B552E" w:rsidRDefault="00B11C01" w:rsidP="00B11C0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Taktyka prowadzenia </w:t>
            </w:r>
            <w:proofErr w:type="spellStart"/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okazań</w:t>
            </w:r>
            <w:proofErr w:type="spellEnd"/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osób i rzeczy. </w:t>
            </w:r>
          </w:p>
          <w:p w:rsidR="00440B46" w:rsidRPr="003B552E" w:rsidRDefault="00440B46" w:rsidP="003B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3B552E" w:rsidRPr="003B552E" w:rsidRDefault="003B552E" w:rsidP="003B5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realizowane przez praktyka – oparte o ćwiczenia praktyczne – odgrywanie scenek, praktyczną prezentację </w:t>
            </w: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analizowanych zagadnień.</w:t>
            </w:r>
          </w:p>
        </w:tc>
      </w:tr>
      <w:tr w:rsidR="0019418D" w:rsidRPr="00B1560E" w:rsidTr="0019418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418D" w:rsidRDefault="0019418D" w:rsidP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projekt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9418D" w:rsidRPr="00B1560E" w:rsidRDefault="0019418D" w:rsidP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418D" w:rsidRPr="00876EEB" w:rsidRDefault="00B11C01" w:rsidP="00194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Taktyczno-techniczne aspekty ujawniania i zwalczania przestępstw przeciwko mieniu, przestępstw przeciwko życiu i zdrowiu oraz innych wybranych kategorii przestępstw – analiza w formie projektowej połączona z zajęciami poza ucze</w:t>
            </w:r>
            <w:r w:rsidR="003B552E"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l</w:t>
            </w:r>
            <w:r w:rsidRPr="003B552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nią. Studenci po zakończeniu zajęć przygotowują projekt w wybranym obszarze tematycznym stanowiący podstawę zaliczenia końcowego.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0444F8" w:rsidRDefault="009B1B25" w:rsidP="003B552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44F8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0444F8">
              <w:rPr>
                <w:rFonts w:ascii="Times New Roman" w:hAnsi="Times New Roman" w:cs="Times New Roman"/>
                <w:sz w:val="20"/>
              </w:rPr>
              <w:t xml:space="preserve">ma zaawansowaną </w:t>
            </w:r>
            <w:r w:rsidR="003B552E" w:rsidRPr="000444F8">
              <w:rPr>
                <w:rFonts w:ascii="Times New Roman" w:hAnsi="Times New Roman" w:cs="Times New Roman"/>
                <w:sz w:val="20"/>
              </w:rPr>
              <w:t>na temat subdyscypliny i specjalizacji kryminalistyki, ich terminologii, teorii</w:t>
            </w:r>
            <w:r w:rsidR="000444F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B552E" w:rsidRPr="000444F8">
              <w:rPr>
                <w:rFonts w:ascii="Times New Roman" w:hAnsi="Times New Roman" w:cs="Times New Roman"/>
                <w:sz w:val="20"/>
              </w:rPr>
              <w:t>i metodyki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C0566C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0444F8" w:rsidRDefault="00DD374F" w:rsidP="007D6FC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44F8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7D6FCD" w:rsidRPr="000444F8">
              <w:rPr>
                <w:rFonts w:ascii="Times New Roman" w:hAnsi="Times New Roman" w:cs="Times New Roman"/>
                <w:sz w:val="20"/>
              </w:rPr>
              <w:t>rozumie zasady i metody techniki i taktyki kryminalistycznej.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C0566C">
              <w:rPr>
                <w:rFonts w:ascii="Times New Roman" w:eastAsia="Calibri" w:hAnsi="Times New Roman" w:cs="Times New Roman"/>
              </w:rPr>
              <w:t>07</w:t>
            </w:r>
          </w:p>
          <w:p w:rsidR="00C0566C" w:rsidRPr="00782415" w:rsidRDefault="00C0566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211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EK</w:t>
            </w:r>
            <w:r w:rsidR="0021174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0444F8" w:rsidRDefault="00CB1659" w:rsidP="003B552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44F8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3B552E" w:rsidRPr="000444F8">
              <w:rPr>
                <w:rFonts w:ascii="Times New Roman" w:hAnsi="Times New Roman" w:cs="Times New Roman"/>
                <w:sz w:val="20"/>
              </w:rPr>
              <w:t>rozróżniać metody badań kryminalistycznych, formułować problemy badawcze w obszarze taktyki i techniki kryminalistycznej.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C0566C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211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1174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0444F8" w:rsidRDefault="00CB1659" w:rsidP="007D6FC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44F8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7D6FCD" w:rsidRPr="000444F8">
              <w:rPr>
                <w:rFonts w:ascii="Times New Roman" w:hAnsi="Times New Roman" w:cs="Times New Roman"/>
                <w:sz w:val="20"/>
              </w:rPr>
              <w:t xml:space="preserve">rozpoznać i stosować w praktyce efektywne metody stosowane w </w:t>
            </w:r>
            <w:r w:rsidR="00C0566C">
              <w:rPr>
                <w:rFonts w:ascii="Times New Roman" w:hAnsi="Times New Roman" w:cs="Times New Roman"/>
                <w:sz w:val="20"/>
              </w:rPr>
              <w:t xml:space="preserve">procesie </w:t>
            </w:r>
            <w:proofErr w:type="spellStart"/>
            <w:r w:rsidR="00C0566C">
              <w:rPr>
                <w:rFonts w:ascii="Times New Roman" w:hAnsi="Times New Roman" w:cs="Times New Roman"/>
                <w:sz w:val="20"/>
              </w:rPr>
              <w:t>wykrywczym</w:t>
            </w:r>
            <w:proofErr w:type="spellEnd"/>
            <w:r w:rsidR="00C0566C">
              <w:rPr>
                <w:rFonts w:ascii="Times New Roman" w:hAnsi="Times New Roman" w:cs="Times New Roman"/>
                <w:sz w:val="20"/>
              </w:rPr>
              <w:t xml:space="preserve"> i dowodowym, używając języka specjalistycznego prezentuje wyniki swoich dociekań naukowych.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C0566C">
              <w:rPr>
                <w:rFonts w:ascii="Times New Roman" w:eastAsia="Calibri" w:hAnsi="Times New Roman" w:cs="Times New Roman"/>
              </w:rPr>
              <w:t>09</w:t>
            </w:r>
          </w:p>
          <w:p w:rsidR="00C0566C" w:rsidRDefault="00C0566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C0566C" w:rsidRPr="00782415" w:rsidRDefault="00C0566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C0566C" w:rsidRPr="00782415" w:rsidRDefault="00C0566C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211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1174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0444F8" w:rsidRDefault="009E4CEB" w:rsidP="00BF07F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444F8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5E6C47" w:rsidRPr="000444F8">
              <w:rPr>
                <w:rFonts w:ascii="Times New Roman" w:hAnsi="Times New Roman" w:cs="Times New Roman"/>
                <w:sz w:val="20"/>
              </w:rPr>
              <w:t xml:space="preserve">rozumie potrzebę </w:t>
            </w:r>
            <w:r w:rsidR="00BF07F5">
              <w:rPr>
                <w:rFonts w:ascii="Times New Roman" w:hAnsi="Times New Roman" w:cs="Times New Roman"/>
                <w:sz w:val="20"/>
              </w:rPr>
              <w:t xml:space="preserve">współpracy w obszarze realizacji zadań z zakresu techniki i taktyki kryminalistycznej, dla osiągniecia właściwego efektu </w:t>
            </w:r>
            <w:proofErr w:type="spellStart"/>
            <w:r w:rsidR="00BF07F5">
              <w:rPr>
                <w:rFonts w:ascii="Times New Roman" w:hAnsi="Times New Roman" w:cs="Times New Roman"/>
                <w:sz w:val="20"/>
              </w:rPr>
              <w:t>wykrywczego</w:t>
            </w:r>
            <w:proofErr w:type="spellEnd"/>
            <w:r w:rsidR="00BF07F5">
              <w:rPr>
                <w:rFonts w:ascii="Times New Roman" w:hAnsi="Times New Roman" w:cs="Times New Roman"/>
                <w:sz w:val="20"/>
              </w:rPr>
              <w:t>, ma zdolności charakteryzujące lidera.</w:t>
            </w:r>
            <w:r w:rsidR="005E6C47" w:rsidRPr="000444F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BF07F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F0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</w:t>
            </w:r>
            <w:r w:rsidR="00BF07F5"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211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1174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3B552E" w:rsidP="005E6C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44F8">
              <w:rPr>
                <w:rFonts w:ascii="Times New Roman" w:hAnsi="Times New Roman" w:cs="Times New Roman"/>
                <w:sz w:val="20"/>
              </w:rPr>
              <w:t>Student ma pogłębioną świadomość poziom</w:t>
            </w:r>
            <w:r w:rsidR="005E6C47" w:rsidRPr="000444F8">
              <w:rPr>
                <w:rFonts w:ascii="Times New Roman" w:hAnsi="Times New Roman" w:cs="Times New Roman"/>
                <w:sz w:val="20"/>
              </w:rPr>
              <w:t>u swojej wiedzy i umiejętności</w:t>
            </w:r>
            <w:r w:rsidR="00BD29D7">
              <w:rPr>
                <w:rFonts w:ascii="Times New Roman" w:hAnsi="Times New Roman" w:cs="Times New Roman"/>
                <w:sz w:val="20"/>
              </w:rPr>
              <w:t>, realizując działania w obrębie techniki i taktyki kryminalistycznej działa profesjonalnie, z zachowaniem obowiązujących norm społecznych i etycznych.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BF07F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F0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BF07F5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F07F5" w:rsidRDefault="0020390B" w:rsidP="00211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21174F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taktyki i techniki kryminalistycznej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F07F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21174F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taktyki i techniki kryminalistycznej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F07F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21174F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taktyki i techniki kryminalistycznej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F07F5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21174F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taktyki i techniki kryminalistycznej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F07F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21174F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taktyki i techniki kryminalistycznej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F07F5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21174F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taktyki i techniki kryminalistycznej </w:t>
            </w: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lastRenderedPageBreak/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</w:t>
            </w:r>
            <w:r w:rsidR="0021174F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21174F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+ projekt z prezentacją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</w:t>
            </w:r>
            <w:r w:rsidR="0021174F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+ projekt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FB2725" w:rsidP="00FB2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74F" w:rsidRPr="00BF07F5" w:rsidRDefault="00FB2725" w:rsidP="00211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</w:t>
            </w:r>
            <w:r w:rsidR="003010C1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  <w:r w:rsidR="0021174F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- Egzamin testowy (20 pytań) z pytaniami jednokrotnego wyboru (jedna z</w:t>
            </w:r>
          </w:p>
          <w:p w:rsidR="0021174F" w:rsidRPr="00BF07F5" w:rsidRDefault="0021174F" w:rsidP="00211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czterech odpowiedzi jest prawidłowa) oraz pytaniami wymagającymi</w:t>
            </w:r>
          </w:p>
          <w:p w:rsidR="0020390B" w:rsidRPr="00BF07F5" w:rsidRDefault="0021174F" w:rsidP="002117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uzupełnienia. 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BF07F5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  <w:r w:rsidR="0021174F"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zajęcia ćwiczeniowe</w:t>
            </w:r>
          </w:p>
        </w:tc>
      </w:tr>
      <w:tr w:rsidR="0021174F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1174F" w:rsidRPr="00B1560E" w:rsidRDefault="0021174F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74F" w:rsidRPr="00BF07F5" w:rsidRDefault="002117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F07F5">
              <w:rPr>
                <w:rFonts w:ascii="Times New Roman" w:eastAsia="Calibri" w:hAnsi="Times New Roman" w:cs="Times New Roman"/>
                <w:sz w:val="20"/>
                <w:szCs w:val="18"/>
              </w:rPr>
              <w:t>100% - przygotowanie i zaprezentowanie projektu - projekt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FB2725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pisemne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21174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9418D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9418D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96B73">
              <w:rPr>
                <w:rFonts w:ascii="Times New Roman" w:eastAsia="Calibri" w:hAnsi="Times New Roman" w:cs="Times New Roman"/>
              </w:rPr>
              <w:t>4</w:t>
            </w:r>
            <w:r w:rsidR="0019418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19418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19418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96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03507F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</w:t>
            </w:r>
            <w:r w:rsidR="0019418D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19418D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6F3BFE">
        <w:trPr>
          <w:cantSplit/>
          <w:trHeight w:val="132"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6F3BFE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194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DCAE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0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2"/>
  </w:num>
  <w:num w:numId="13">
    <w:abstractNumId w:val="18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1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230D4"/>
    <w:rsid w:val="0003507F"/>
    <w:rsid w:val="0003597A"/>
    <w:rsid w:val="000444F8"/>
    <w:rsid w:val="000821A1"/>
    <w:rsid w:val="00094B6C"/>
    <w:rsid w:val="000A3030"/>
    <w:rsid w:val="000B1713"/>
    <w:rsid w:val="000E3872"/>
    <w:rsid w:val="000E44C4"/>
    <w:rsid w:val="000E57A4"/>
    <w:rsid w:val="000F6BC8"/>
    <w:rsid w:val="0011589A"/>
    <w:rsid w:val="0016056A"/>
    <w:rsid w:val="00181AD2"/>
    <w:rsid w:val="00184463"/>
    <w:rsid w:val="0019418D"/>
    <w:rsid w:val="001D225E"/>
    <w:rsid w:val="00202BE1"/>
    <w:rsid w:val="0020390B"/>
    <w:rsid w:val="0021174F"/>
    <w:rsid w:val="00236EB2"/>
    <w:rsid w:val="00261F08"/>
    <w:rsid w:val="002D35E6"/>
    <w:rsid w:val="003010C1"/>
    <w:rsid w:val="0030144F"/>
    <w:rsid w:val="00324E6B"/>
    <w:rsid w:val="003372AB"/>
    <w:rsid w:val="003457A3"/>
    <w:rsid w:val="00347081"/>
    <w:rsid w:val="003913A3"/>
    <w:rsid w:val="003B328F"/>
    <w:rsid w:val="003B552E"/>
    <w:rsid w:val="003E0F50"/>
    <w:rsid w:val="004000A2"/>
    <w:rsid w:val="0040153E"/>
    <w:rsid w:val="00402C35"/>
    <w:rsid w:val="00417815"/>
    <w:rsid w:val="00440B46"/>
    <w:rsid w:val="00445C54"/>
    <w:rsid w:val="00461EB5"/>
    <w:rsid w:val="00490AF0"/>
    <w:rsid w:val="00495E3A"/>
    <w:rsid w:val="00496B73"/>
    <w:rsid w:val="004A621C"/>
    <w:rsid w:val="004A670F"/>
    <w:rsid w:val="004F4ECE"/>
    <w:rsid w:val="00575498"/>
    <w:rsid w:val="0059373C"/>
    <w:rsid w:val="005A209F"/>
    <w:rsid w:val="005C63B3"/>
    <w:rsid w:val="005E1F40"/>
    <w:rsid w:val="005E6C47"/>
    <w:rsid w:val="005F0EF0"/>
    <w:rsid w:val="005F2732"/>
    <w:rsid w:val="005F4F40"/>
    <w:rsid w:val="00613899"/>
    <w:rsid w:val="00662E69"/>
    <w:rsid w:val="00664619"/>
    <w:rsid w:val="00664D97"/>
    <w:rsid w:val="006B49CC"/>
    <w:rsid w:val="006F3BFE"/>
    <w:rsid w:val="00705399"/>
    <w:rsid w:val="0077565A"/>
    <w:rsid w:val="007821CD"/>
    <w:rsid w:val="00782415"/>
    <w:rsid w:val="00794A09"/>
    <w:rsid w:val="007960DF"/>
    <w:rsid w:val="007A7D44"/>
    <w:rsid w:val="007D40BE"/>
    <w:rsid w:val="007D6FCD"/>
    <w:rsid w:val="007E109D"/>
    <w:rsid w:val="008073B0"/>
    <w:rsid w:val="008304BE"/>
    <w:rsid w:val="008561F3"/>
    <w:rsid w:val="00876EEB"/>
    <w:rsid w:val="00897224"/>
    <w:rsid w:val="008B38F6"/>
    <w:rsid w:val="008E12C0"/>
    <w:rsid w:val="009705B1"/>
    <w:rsid w:val="009B1B25"/>
    <w:rsid w:val="009B735D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652FF"/>
    <w:rsid w:val="00A734DC"/>
    <w:rsid w:val="00A770A0"/>
    <w:rsid w:val="00B11C01"/>
    <w:rsid w:val="00B1560E"/>
    <w:rsid w:val="00B23FB7"/>
    <w:rsid w:val="00B24404"/>
    <w:rsid w:val="00B47841"/>
    <w:rsid w:val="00B6054F"/>
    <w:rsid w:val="00B65D85"/>
    <w:rsid w:val="00B762A5"/>
    <w:rsid w:val="00BA2DFB"/>
    <w:rsid w:val="00BB770C"/>
    <w:rsid w:val="00BD095A"/>
    <w:rsid w:val="00BD29D7"/>
    <w:rsid w:val="00BE32AD"/>
    <w:rsid w:val="00BF07F5"/>
    <w:rsid w:val="00C0566C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75EF6"/>
    <w:rsid w:val="00EB33D7"/>
    <w:rsid w:val="00EE6BCA"/>
    <w:rsid w:val="00EF3D4C"/>
    <w:rsid w:val="00EF410F"/>
    <w:rsid w:val="00F06174"/>
    <w:rsid w:val="00F103A2"/>
    <w:rsid w:val="00F45F92"/>
    <w:rsid w:val="00F824A7"/>
    <w:rsid w:val="00F93C38"/>
    <w:rsid w:val="00FB1B50"/>
    <w:rsid w:val="00FB2725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8</cp:revision>
  <dcterms:created xsi:type="dcterms:W3CDTF">2024-11-25T10:55:00Z</dcterms:created>
  <dcterms:modified xsi:type="dcterms:W3CDTF">2024-12-01T08:29:00Z</dcterms:modified>
</cp:coreProperties>
</file>