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62590CFC" wp14:editId="0D5414E3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B20D2C" wp14:editId="62B0407A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02E0C74"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876EEB">
        <w:trPr>
          <w:trHeight w:val="54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B47841" w:rsidP="002D35E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565EF4">
              <w:rPr>
                <w:rFonts w:ascii="Times New Roman" w:hAnsi="Times New Roman" w:cs="Times New Roman"/>
                <w:b/>
              </w:rPr>
              <w:t>307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565EF4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PSYCHOPATOLOGIA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47841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B47841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B1560E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</w:t>
            </w:r>
            <w:r w:rsidR="00A770A0" w:rsidRPr="00B23FB7">
              <w:rPr>
                <w:rFonts w:ascii="Times New Roman" w:eastAsia="Calibri" w:hAnsi="Times New Roman" w:cs="Times New Roman"/>
              </w:rPr>
              <w:t>duł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876EEB">
              <w:rPr>
                <w:rFonts w:ascii="Times New Roman" w:eastAsia="Calibri" w:hAnsi="Times New Roman" w:cs="Times New Roman"/>
              </w:rPr>
              <w:t>kierunkowy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565EF4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trzeci</w:t>
            </w:r>
          </w:p>
        </w:tc>
      </w:tr>
      <w:tr w:rsidR="00A770A0" w:rsidRPr="00B23FB7" w:rsidTr="00DD374F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DD374F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E9563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565EF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E9563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565EF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61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565EF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45F92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="00A770A0"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1C5D95" w:rsidRDefault="00A60F4F" w:rsidP="00A60F4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C5D95">
              <w:rPr>
                <w:rFonts w:ascii="Times New Roman" w:eastAsia="Calibri" w:hAnsi="Times New Roman" w:cs="Times New Roman"/>
                <w:sz w:val="20"/>
              </w:rPr>
              <w:t xml:space="preserve">wykład, </w:t>
            </w:r>
            <w:r w:rsidR="00A770A0" w:rsidRPr="001C5D95">
              <w:rPr>
                <w:rFonts w:ascii="Times New Roman" w:eastAsia="Calibri" w:hAnsi="Times New Roman" w:cs="Times New Roman"/>
                <w:sz w:val="20"/>
              </w:rPr>
              <w:t>ćwiczenia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1AD2" w:rsidRPr="001C5D95" w:rsidRDefault="00F45F92" w:rsidP="00575498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C5D95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="00016379" w:rsidRPr="001C5D95">
              <w:rPr>
                <w:rFonts w:ascii="Times New Roman" w:eastAsia="Calibri" w:hAnsi="Times New Roman" w:cs="Times New Roman"/>
                <w:sz w:val="20"/>
              </w:rPr>
              <w:t>egzamin</w:t>
            </w:r>
          </w:p>
          <w:p w:rsidR="00A770A0" w:rsidRPr="001C5D95" w:rsidRDefault="00F45F92" w:rsidP="00876EEB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C5D95">
              <w:rPr>
                <w:rFonts w:ascii="Times New Roman" w:eastAsia="Calibri" w:hAnsi="Times New Roman" w:cs="Times New Roman"/>
                <w:sz w:val="20"/>
              </w:rPr>
              <w:t xml:space="preserve">ćwiczenia: </w:t>
            </w:r>
            <w:r w:rsidR="00BE32AD" w:rsidRPr="001C5D95">
              <w:rPr>
                <w:rFonts w:ascii="Times New Roman" w:eastAsia="Calibri" w:hAnsi="Times New Roman" w:cs="Times New Roman"/>
                <w:sz w:val="20"/>
              </w:rPr>
              <w:t xml:space="preserve">zaliczenie końcowe w formie pisemnej 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2AD" w:rsidRPr="001C5D95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1C5D95">
              <w:rPr>
                <w:rFonts w:ascii="Times New Roman" w:eastAsia="Calibri" w:hAnsi="Times New Roman" w:cs="Times New Roman"/>
                <w:sz w:val="20"/>
              </w:rPr>
              <w:t xml:space="preserve">wykład – wykład informacyjny/ wykład problemowy/ wykład konwersatoryjny jest połączeniem wykładu z działalnością samych słuchaczy, ich współudziałem w rozwiązywaniu problemów praktycznych. </w:t>
            </w:r>
          </w:p>
          <w:p w:rsidR="00BE32AD" w:rsidRPr="001C5D95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16056A" w:rsidRPr="001C5D95" w:rsidRDefault="00BE32AD" w:rsidP="00876E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1C5D95">
              <w:rPr>
                <w:rFonts w:ascii="Times New Roman" w:eastAsia="Calibri" w:hAnsi="Times New Roman" w:cs="Times New Roman"/>
                <w:sz w:val="20"/>
              </w:rPr>
              <w:t>ćwiczeniowa -  oparta o analizę dostępnych aktów normatywnych, analizie orzecznictwa, jak również studium przypadku</w:t>
            </w:r>
            <w:r w:rsidR="00876EEB" w:rsidRPr="001C5D95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308D" w:rsidRPr="006B1AFC" w:rsidRDefault="00FA308D" w:rsidP="00FA308D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6B1AF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Butcher</w:t>
            </w:r>
            <w:proofErr w:type="spellEnd"/>
            <w:r w:rsidRPr="006B1AF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J. M., </w:t>
            </w:r>
            <w:proofErr w:type="spellStart"/>
            <w:r w:rsidRPr="006B1AF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Hooley</w:t>
            </w:r>
            <w:proofErr w:type="spellEnd"/>
            <w:r w:rsidRPr="006B1AF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J. M., </w:t>
            </w:r>
            <w:proofErr w:type="spellStart"/>
            <w:r w:rsidRPr="006B1AF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Mineka</w:t>
            </w:r>
            <w:proofErr w:type="spellEnd"/>
            <w:r w:rsidRPr="006B1AF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S., </w:t>
            </w:r>
            <w:r w:rsidRPr="006B1AFC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Psychologia zaburzeń. DSM-5</w:t>
            </w:r>
            <w:r w:rsidRPr="006B1AF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Sopot 2018.</w:t>
            </w:r>
          </w:p>
          <w:p w:rsidR="00F103A2" w:rsidRPr="006B1AFC" w:rsidRDefault="00FA308D" w:rsidP="00FA308D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6B1AF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Cierpiałkowska</w:t>
            </w:r>
            <w:proofErr w:type="spellEnd"/>
            <w:r w:rsidRPr="006B1AF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L., </w:t>
            </w:r>
            <w:r w:rsidRPr="006B1AFC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Psychopatologia</w:t>
            </w:r>
            <w:r w:rsidRPr="006B1AF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2021.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308D" w:rsidRPr="006B1AFC" w:rsidRDefault="00FA308D" w:rsidP="006B1AFC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6B1AF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Bach B., First M. B., Application of the ICD-11 </w:t>
            </w:r>
            <w:proofErr w:type="spellStart"/>
            <w:r w:rsidRPr="006B1AF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classification</w:t>
            </w:r>
            <w:proofErr w:type="spellEnd"/>
            <w:r w:rsidRPr="006B1AF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of </w:t>
            </w:r>
            <w:proofErr w:type="spellStart"/>
            <w:r w:rsidRPr="006B1AF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personality</w:t>
            </w:r>
            <w:proofErr w:type="spellEnd"/>
            <w:r w:rsidRPr="006B1AF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6B1AF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disorders</w:t>
            </w:r>
            <w:proofErr w:type="spellEnd"/>
            <w:r w:rsidRPr="006B1AF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„BMC Psychiatry” 2018.</w:t>
            </w:r>
          </w:p>
          <w:p w:rsidR="00FA308D" w:rsidRPr="006B1AFC" w:rsidRDefault="00FA308D" w:rsidP="006B1AFC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6B1AF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Millon</w:t>
            </w:r>
            <w:proofErr w:type="spellEnd"/>
            <w:r w:rsidRPr="006B1AF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T., Davis R., </w:t>
            </w:r>
            <w:r w:rsidRPr="006B1AFC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Zaburzenia osobowości we współczesnym świecie</w:t>
            </w:r>
            <w:r w:rsidRPr="006B1AF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2005</w:t>
            </w:r>
            <w:r w:rsidR="006B1AFC" w:rsidRPr="006B1AF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.</w:t>
            </w:r>
          </w:p>
          <w:p w:rsidR="00F103A2" w:rsidRPr="006B1AFC" w:rsidRDefault="00FA308D" w:rsidP="00FA308D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6B1AF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Tomalski</w:t>
            </w:r>
            <w:proofErr w:type="spellEnd"/>
            <w:r w:rsidRPr="006B1AF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R., Pietkiewicz I., Złożony zespół stresu </w:t>
            </w:r>
            <w:proofErr w:type="spellStart"/>
            <w:r w:rsidRPr="006B1AF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pourazowego-przełom</w:t>
            </w:r>
            <w:proofErr w:type="spellEnd"/>
            <w:r w:rsidRPr="006B1AF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w leczeniu zaburzeń osobowości, „Psychiatria i Psychologia Kliniczna” 2020, 20(1): 54-60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5F4F40" w:rsidRPr="00B1560E" w:rsidTr="00F62988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6B1AFC" w:rsidRDefault="006B1AFC" w:rsidP="006B1AFC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6B1AFC">
              <w:rPr>
                <w:rFonts w:ascii="Times New Roman" w:hAnsi="Times New Roman" w:cs="Times New Roman"/>
                <w:sz w:val="20"/>
              </w:rPr>
              <w:t xml:space="preserve">Zajęcia  mają na celu wprowadzenie w problematykę psychopatologii, przedstawiając modele zaburzeń psychopatologicznych ze szczególnym uwzględnieniem podejścia </w:t>
            </w:r>
            <w:proofErr w:type="spellStart"/>
            <w:r w:rsidRPr="006B1AFC">
              <w:rPr>
                <w:rFonts w:ascii="Times New Roman" w:hAnsi="Times New Roman" w:cs="Times New Roman"/>
                <w:sz w:val="20"/>
              </w:rPr>
              <w:t>socjo</w:t>
            </w:r>
            <w:proofErr w:type="spellEnd"/>
            <w:r w:rsidRPr="006B1AFC">
              <w:rPr>
                <w:rFonts w:ascii="Times New Roman" w:hAnsi="Times New Roman" w:cs="Times New Roman"/>
                <w:sz w:val="20"/>
              </w:rPr>
              <w:t xml:space="preserve">-kulturowego, systemowego i psychologicznego. </w:t>
            </w:r>
          </w:p>
        </w:tc>
      </w:tr>
      <w:tr w:rsidR="005F4F40" w:rsidRPr="00B1560E" w:rsidTr="00F62988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2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6B1AFC" w:rsidRDefault="006B1AFC" w:rsidP="005F4F40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6B1AFC">
              <w:rPr>
                <w:rFonts w:ascii="Times New Roman" w:hAnsi="Times New Roman" w:cs="Times New Roman"/>
                <w:sz w:val="20"/>
              </w:rPr>
              <w:t>Prezentowane są również zagadnienia związane z podstawowymi formami psychopatologii społecznej tj. uzależnienie od alkoholu i narkotyków, dysfunkcje seksualne, zaburzenia nastroju i samobójstwa, zaburzenia związane z doświadczeniem traumy.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402C35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3913A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B1560E" w:rsidTr="00AC1AFA"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E95639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E95639">
              <w:rPr>
                <w:rFonts w:ascii="Times New Roman" w:eastAsia="Calibri" w:hAnsi="Times New Roman" w:cs="Times New Roman"/>
              </w:rPr>
              <w:t xml:space="preserve">6 </w:t>
            </w:r>
            <w:r w:rsidRPr="00B1560E">
              <w:rPr>
                <w:rFonts w:ascii="Times New Roman" w:eastAsia="Calibri" w:hAnsi="Times New Roman" w:cs="Times New Roman"/>
              </w:rPr>
              <w:t>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08D" w:rsidRPr="00FA308D" w:rsidRDefault="00FA308D" w:rsidP="00FA308D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FA308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Przedmiot zainteresowania psychopatologii: definicja i kryteria zaburzenia psychicznego, psychopatologia jednostki a psychopatologia społeczna, psychopatologia ogólna i szczegółowa</w:t>
            </w:r>
          </w:p>
          <w:p w:rsidR="00FA308D" w:rsidRPr="00FA308D" w:rsidRDefault="00FA308D" w:rsidP="00FA308D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FA308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Diagnoza: medyczne systemy klasyfikacji zaburzeń. ICD-10 a ICD-11.</w:t>
            </w:r>
          </w:p>
          <w:p w:rsidR="00FA308D" w:rsidRPr="00FA308D" w:rsidRDefault="00FA308D" w:rsidP="00FA308D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FA308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Etiologia zaburzeń psychicznych: perspektywa biologiczna i biologiczne czynniki sprawcze</w:t>
            </w:r>
          </w:p>
          <w:p w:rsidR="00FA308D" w:rsidRPr="00FA308D" w:rsidRDefault="00FA308D" w:rsidP="00FA308D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FA308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Etiologia zaburzeń psychicznych: perspektywa psychologiczna (podejście </w:t>
            </w:r>
            <w:proofErr w:type="spellStart"/>
            <w:r w:rsidRPr="00FA308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psychodynamiczne</w:t>
            </w:r>
            <w:proofErr w:type="spellEnd"/>
            <w:r w:rsidRPr="00FA308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, behawioralne, poznawczo- behawioralne, psychologiczne czynniki sprawcze)</w:t>
            </w:r>
          </w:p>
          <w:p w:rsidR="00FA308D" w:rsidRPr="00FA308D" w:rsidRDefault="00FA308D" w:rsidP="00FA308D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FA308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Etiologia zaburzeń psychicznych: perspektywa społeczno-kulturowa i społeczno-kulturowe czynniki sprawcze</w:t>
            </w:r>
          </w:p>
          <w:p w:rsidR="009D629F" w:rsidRPr="00FA308D" w:rsidRDefault="00FA308D" w:rsidP="00FA308D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FA308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Stres a zaburzenia psychiczne: charakterystyka stresorów, rola stresu w powstawaniu zaburzeń psychicznych, zaburzenia adaptacyjne, zaburzenia stresowe pourazowe (ASD, PTSD, c-PTSD), terapia i leczenie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.</w:t>
            </w:r>
          </w:p>
        </w:tc>
      </w:tr>
      <w:tr w:rsidR="00FC1054" w:rsidRPr="00B1560E" w:rsidTr="00FC105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Default="00E95639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Pr="00B1560E" w:rsidRDefault="00FC1054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F978FB">
              <w:rPr>
                <w:rFonts w:ascii="Times New Roman" w:eastAsia="Calibri" w:hAnsi="Times New Roman" w:cs="Times New Roman"/>
              </w:rPr>
              <w:t>8</w:t>
            </w:r>
            <w:r w:rsidR="008C0142">
              <w:rPr>
                <w:rFonts w:ascii="Times New Roman" w:eastAsia="Calibri" w:hAnsi="Times New Roman" w:cs="Times New Roman"/>
              </w:rPr>
              <w:t xml:space="preserve"> </w:t>
            </w:r>
            <w:r w:rsidRPr="00B1560E">
              <w:rPr>
                <w:rFonts w:ascii="Times New Roman" w:eastAsia="Calibri" w:hAnsi="Times New Roman" w:cs="Times New Roman"/>
              </w:rPr>
              <w:t>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08D" w:rsidRPr="00FA308D" w:rsidRDefault="00FA308D" w:rsidP="00FA308D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FA308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Zaburzenia lękowe: rodzaje zaburzeń lękowych, etiologia, objawy, kryteria diagnostyczne, terapia</w:t>
            </w:r>
          </w:p>
          <w:p w:rsidR="00FA308D" w:rsidRPr="00FA308D" w:rsidRDefault="00FA308D" w:rsidP="00FA308D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FA308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Zaburzenia nastroju i samobójstwo: typy zaburzeń nastroju, etiologia, objawy, kryteria diagnostyczne, terapia, samobójstwo: obraz kliniczny, czynniki ryzyka, zapobieganie samobójstwom</w:t>
            </w:r>
          </w:p>
          <w:p w:rsidR="00FA308D" w:rsidRPr="00FA308D" w:rsidRDefault="00FA308D" w:rsidP="00FA308D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FA308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Zaburzenia odżywiania: etiologia, objawy, terapia</w:t>
            </w:r>
          </w:p>
          <w:p w:rsidR="00FA308D" w:rsidRPr="00FA308D" w:rsidRDefault="00FA308D" w:rsidP="00FA308D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FA308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Zaburzenia osobowości: cechy kliniczne zaburzeń osobowości, diagnoza, czynniki sprawcze, terapia</w:t>
            </w:r>
          </w:p>
          <w:p w:rsidR="00FA308D" w:rsidRDefault="00FA308D" w:rsidP="00FA308D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FA308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Zaburzenia związane z używaniem substancji psychoaktywnych i uzależnienia behawioralne</w:t>
            </w:r>
          </w:p>
          <w:p w:rsidR="00440B46" w:rsidRPr="00FA308D" w:rsidRDefault="00FA308D" w:rsidP="00FA308D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FA308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lastRenderedPageBreak/>
              <w:t>Wybrane zagadnienia związane z terapią zaburzeń psychicznych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.</w:t>
            </w:r>
          </w:p>
        </w:tc>
      </w:tr>
    </w:tbl>
    <w:p w:rsidR="00794A09" w:rsidRPr="00B23FB7" w:rsidRDefault="00794A09">
      <w:pPr>
        <w:rPr>
          <w:rFonts w:ascii="Times New Roman" w:hAnsi="Times New Roman" w:cs="Times New Roman"/>
        </w:rPr>
      </w:pPr>
    </w:p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782415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EFEKTY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D10B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dla</w:t>
            </w:r>
            <w:r w:rsidRPr="00782415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782415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782415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440B46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0B46" w:rsidRPr="00016379" w:rsidRDefault="009B1B25" w:rsidP="006B1AFC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016379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40153E" w:rsidRPr="00016379">
              <w:rPr>
                <w:rFonts w:ascii="Times New Roman" w:hAnsi="Times New Roman" w:cs="Times New Roman"/>
                <w:sz w:val="20"/>
              </w:rPr>
              <w:t xml:space="preserve">ma zaawansowaną wiedzę </w:t>
            </w:r>
            <w:r w:rsidR="006B1AFC" w:rsidRPr="00016379">
              <w:rPr>
                <w:rFonts w:ascii="Times New Roman" w:hAnsi="Times New Roman" w:cs="Times New Roman"/>
                <w:sz w:val="20"/>
              </w:rPr>
              <w:t xml:space="preserve">z zakresu modeli zaburzeń psychopatologicznych, w szczególności modelu </w:t>
            </w:r>
            <w:proofErr w:type="spellStart"/>
            <w:r w:rsidR="006B1AFC" w:rsidRPr="00016379">
              <w:rPr>
                <w:rFonts w:ascii="Times New Roman" w:hAnsi="Times New Roman" w:cs="Times New Roman"/>
                <w:sz w:val="20"/>
              </w:rPr>
              <w:t>socjo</w:t>
            </w:r>
            <w:proofErr w:type="spellEnd"/>
            <w:r w:rsidR="006B1AFC" w:rsidRPr="00016379">
              <w:rPr>
                <w:rFonts w:ascii="Times New Roman" w:hAnsi="Times New Roman" w:cs="Times New Roman"/>
                <w:sz w:val="20"/>
              </w:rPr>
              <w:t>-kulturowego i psychologicznego oraz wiedzę o procesach umysłowych modyfikujących zachowanie i nastrój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DD374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1C5D95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DD374F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374F" w:rsidRPr="00016379" w:rsidRDefault="00DD374F" w:rsidP="0001637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016379">
              <w:rPr>
                <w:rFonts w:ascii="Times New Roman" w:hAnsi="Times New Roman" w:cs="Times New Roman"/>
                <w:sz w:val="20"/>
              </w:rPr>
              <w:t xml:space="preserve">Student zna </w:t>
            </w:r>
            <w:r w:rsidR="006B1AFC" w:rsidRPr="00016379">
              <w:rPr>
                <w:rFonts w:ascii="Times New Roman" w:hAnsi="Times New Roman" w:cs="Times New Roman"/>
                <w:sz w:val="20"/>
              </w:rPr>
              <w:t>podstawowe formy psychopatologii w życiu społecznym, ich etiologię, profilaktykę i terapię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1C5D95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CB1659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UMIEJĘTNOŚCI</w:t>
            </w:r>
          </w:p>
        </w:tc>
      </w:tr>
      <w:tr w:rsidR="00CB1659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0163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</w:t>
            </w:r>
            <w:r w:rsidR="006B1AFC">
              <w:rPr>
                <w:rFonts w:ascii="Times New Roman" w:eastAsia="Calibri" w:hAnsi="Times New Roman" w:cs="Times New Roman"/>
                <w:b/>
              </w:rPr>
              <w:t xml:space="preserve">U </w:t>
            </w:r>
            <w:r w:rsidR="00016379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016379" w:rsidRDefault="00CB1659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016379">
              <w:rPr>
                <w:rFonts w:ascii="Times New Roman" w:hAnsi="Times New Roman" w:cs="Times New Roman"/>
                <w:sz w:val="20"/>
              </w:rPr>
              <w:t xml:space="preserve">Student potrafi </w:t>
            </w:r>
            <w:r w:rsidR="006B1AFC" w:rsidRPr="00016379">
              <w:rPr>
                <w:rFonts w:ascii="Times New Roman" w:hAnsi="Times New Roman" w:cs="Times New Roman"/>
                <w:sz w:val="20"/>
              </w:rPr>
              <w:t>określić procesy psychologiczne wpływające na rozwój psychopatologii.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Default="00CB165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1C5D95">
              <w:rPr>
                <w:rFonts w:ascii="Times New Roman" w:eastAsia="Calibri" w:hAnsi="Times New Roman" w:cs="Times New Roman"/>
              </w:rPr>
              <w:t>04</w:t>
            </w:r>
          </w:p>
          <w:p w:rsidR="001C5D95" w:rsidRPr="00782415" w:rsidRDefault="001C5D95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K_U10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CB1659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0163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 w:rsidR="00016379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016379" w:rsidRDefault="00CB1659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016379">
              <w:rPr>
                <w:rFonts w:ascii="Times New Roman" w:hAnsi="Times New Roman" w:cs="Times New Roman"/>
                <w:sz w:val="20"/>
              </w:rPr>
              <w:t xml:space="preserve">Student potrafi </w:t>
            </w:r>
            <w:r w:rsidR="006B1AFC" w:rsidRPr="00016379">
              <w:rPr>
                <w:rFonts w:ascii="Times New Roman" w:hAnsi="Times New Roman" w:cs="Times New Roman"/>
                <w:sz w:val="20"/>
              </w:rPr>
              <w:t>zastosować wiedzę z zakresu etiologii, profilaktyki, diagnozy i terapii psychopatologii w celu niesienia pomocy psychologicznej i rozwiązania konkretnych problemów natury psychologicznej i społeczno-psychologicznej.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Default="00B47841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1C5D95">
              <w:rPr>
                <w:rFonts w:ascii="Times New Roman" w:eastAsia="Calibri" w:hAnsi="Times New Roman" w:cs="Times New Roman"/>
              </w:rPr>
              <w:t>06</w:t>
            </w:r>
          </w:p>
          <w:p w:rsidR="001C5D95" w:rsidRPr="00782415" w:rsidRDefault="001C5D95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K_U08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9E4CEB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9E4CEB" w:rsidRPr="00782415" w:rsidTr="00016379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0163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 w:rsidR="00016379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016379" w:rsidRDefault="009E4CEB" w:rsidP="000163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379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016379" w:rsidRPr="00016379">
              <w:rPr>
                <w:rFonts w:ascii="Times New Roman" w:hAnsi="Times New Roman" w:cs="Times New Roman"/>
                <w:sz w:val="20"/>
              </w:rPr>
              <w:t>docenia dorobek psychologii z zakresu psychopatologii społecznej oraz działa na rzecz wykorzystywania tej wiedzy w celu polepszenia warunków życia i satysfakcji z życia w rożnych obszarach funkcjonowania jednostki w ujęciu kryminologicznym.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1C5D95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 w:rsidR="001C5D95">
              <w:rPr>
                <w:rFonts w:ascii="Times New Roman" w:eastAsia="Calibri" w:hAnsi="Times New Roman" w:cs="Times New Roman"/>
              </w:rPr>
              <w:t>R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4C5CFD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4C5CFD" w:rsidRDefault="0020390B" w:rsidP="000163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C5CFD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016379" w:rsidRPr="004C5CFD">
              <w:rPr>
                <w:rFonts w:ascii="Times New Roman" w:eastAsia="Calibri" w:hAnsi="Times New Roman" w:cs="Times New Roman"/>
                <w:sz w:val="20"/>
                <w:szCs w:val="18"/>
              </w:rPr>
              <w:t>psychopatologii</w:t>
            </w:r>
          </w:p>
        </w:tc>
      </w:tr>
      <w:tr w:rsidR="0020390B" w:rsidRPr="004C5CFD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4C5CFD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C5CFD">
              <w:rPr>
                <w:rFonts w:ascii="Times New Roman" w:eastAsia="Calibri" w:hAnsi="Times New Roman" w:cs="Times New Roman"/>
                <w:sz w:val="20"/>
                <w:szCs w:val="18"/>
              </w:rPr>
              <w:t>51–60% – opanowanie na poziomie zadowalającym podstawowych kwestii wynikających z </w:t>
            </w:r>
            <w:r w:rsidR="00794A09" w:rsidRPr="004C5CFD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zagadnień </w:t>
            </w:r>
            <w:r w:rsidR="00016379" w:rsidRPr="004C5CFD">
              <w:rPr>
                <w:rFonts w:ascii="Times New Roman" w:eastAsia="Calibri" w:hAnsi="Times New Roman" w:cs="Times New Roman"/>
                <w:sz w:val="20"/>
                <w:szCs w:val="18"/>
              </w:rPr>
              <w:t>psychopatologii</w:t>
            </w:r>
            <w:bookmarkStart w:id="0" w:name="_GoBack"/>
            <w:bookmarkEnd w:id="0"/>
          </w:p>
        </w:tc>
      </w:tr>
      <w:tr w:rsidR="0020390B" w:rsidRPr="004C5CFD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4C5CFD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C5CFD">
              <w:rPr>
                <w:rFonts w:ascii="Times New Roman" w:eastAsia="Calibri" w:hAnsi="Times New Roman" w:cs="Times New Roman"/>
                <w:sz w:val="20"/>
                <w:szCs w:val="18"/>
              </w:rPr>
              <w:t>61–70% – przyswojenie na średnim poziomie problematyk</w:t>
            </w:r>
            <w:r w:rsidR="00794A09" w:rsidRPr="004C5CFD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i </w:t>
            </w:r>
            <w:r w:rsidR="00016379" w:rsidRPr="004C5CFD">
              <w:rPr>
                <w:rFonts w:ascii="Times New Roman" w:eastAsia="Calibri" w:hAnsi="Times New Roman" w:cs="Times New Roman"/>
                <w:sz w:val="20"/>
                <w:szCs w:val="18"/>
              </w:rPr>
              <w:t>psychopatologii</w:t>
            </w:r>
          </w:p>
        </w:tc>
      </w:tr>
      <w:tr w:rsidR="0020390B" w:rsidRPr="004C5CFD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4C5CFD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C5CFD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71–80% - uzyskanie wiedzy co do czynników kształtujących podstawowe zjawiska </w:t>
            </w:r>
            <w:r w:rsidRPr="004C5CFD">
              <w:rPr>
                <w:rFonts w:ascii="Times New Roman" w:eastAsia="Calibri" w:hAnsi="Times New Roman" w:cs="Times New Roman"/>
                <w:sz w:val="20"/>
                <w:szCs w:val="18"/>
              </w:rPr>
              <w:br/>
              <w:t xml:space="preserve">z zakresu </w:t>
            </w:r>
            <w:r w:rsidR="00016379" w:rsidRPr="004C5CFD">
              <w:rPr>
                <w:rFonts w:ascii="Times New Roman" w:eastAsia="Calibri" w:hAnsi="Times New Roman" w:cs="Times New Roman"/>
                <w:sz w:val="20"/>
                <w:szCs w:val="18"/>
              </w:rPr>
              <w:t>psychopatologii</w:t>
            </w:r>
          </w:p>
        </w:tc>
      </w:tr>
      <w:tr w:rsidR="0020390B" w:rsidRPr="004C5CFD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4C5CFD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C5CFD">
              <w:rPr>
                <w:rFonts w:ascii="Times New Roman" w:eastAsia="Calibri" w:hAnsi="Times New Roman" w:cs="Times New Roman"/>
                <w:sz w:val="20"/>
                <w:szCs w:val="18"/>
              </w:rPr>
              <w:t>81–90%  – kompleksowe panowanie treści programowych umożliwiające identyfikację zasad teoretycznych i praktycznych aspektów funkcjonowania</w:t>
            </w:r>
            <w:r w:rsidR="00794A09" w:rsidRPr="004C5CFD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16379" w:rsidRPr="004C5CFD">
              <w:rPr>
                <w:rFonts w:ascii="Times New Roman" w:eastAsia="Calibri" w:hAnsi="Times New Roman" w:cs="Times New Roman"/>
                <w:sz w:val="20"/>
                <w:szCs w:val="18"/>
              </w:rPr>
              <w:t>psychopatologii</w:t>
            </w:r>
          </w:p>
        </w:tc>
      </w:tr>
      <w:tr w:rsidR="0020390B" w:rsidRPr="004C5CFD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4C5CFD" w:rsidRDefault="0020390B" w:rsidP="000163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C5CFD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91–100% – doskonałe, zaawansowane opanowanie treści programowych w tym części dotyczącej rozwiązywania problemów związanych z </w:t>
            </w:r>
            <w:r w:rsidR="00016379" w:rsidRPr="004C5CFD">
              <w:rPr>
                <w:rFonts w:ascii="Times New Roman" w:eastAsia="Calibri" w:hAnsi="Times New Roman" w:cs="Times New Roman"/>
                <w:sz w:val="20"/>
                <w:szCs w:val="18"/>
              </w:rPr>
              <w:t>psychopatologią</w:t>
            </w:r>
            <w:r w:rsidR="005C63B3" w:rsidRPr="004C5CFD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4C5CFD">
              <w:rPr>
                <w:rFonts w:ascii="Times New Roman" w:eastAsia="Calibri" w:hAnsi="Times New Roman" w:cs="Times New Roman"/>
                <w:sz w:val="20"/>
                <w:szCs w:val="18"/>
              </w:rPr>
              <w:t>w pracy zawodowej</w:t>
            </w:r>
          </w:p>
        </w:tc>
      </w:tr>
    </w:tbl>
    <w:p w:rsidR="00A16E86" w:rsidRDefault="00A16E86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F1.Wypowiedzi studenta świadczące o zrozumieniu lub brakach w zrozumieniu treści omawianych</w:t>
            </w:r>
          </w:p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F2. Pytania zadawane przez studenta świadczące o poziomie wiedzy i zainteresowania problematyką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F3. Aktywność poznawcza studenta- znajomość literatury przedmiotu, samodzielne wyciąganie wniosków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P1. Ocena </w:t>
            </w:r>
            <w:r w:rsidR="003010C1" w:rsidRPr="000E3872">
              <w:rPr>
                <w:rFonts w:ascii="Times New Roman" w:eastAsia="Calibri" w:hAnsi="Times New Roman" w:cs="Times New Roman"/>
                <w:szCs w:val="18"/>
              </w:rPr>
              <w:t>postępów w nauce – ocena zadań realizowanych w czasie trwania semestru (ocenianie ciągłe – ćwiczenia)</w:t>
            </w: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lastRenderedPageBreak/>
              <w:t>P2. Ocena z kolokwium kończącego przedmiot – egzamin  (wykład)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P3. Ocena 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zaliczenia ćwiczeń w formie </w:t>
            </w:r>
            <w:r w:rsidR="00B65D85">
              <w:rPr>
                <w:rFonts w:ascii="Times New Roman" w:eastAsia="Calibri" w:hAnsi="Times New Roman" w:cs="Times New Roman"/>
                <w:szCs w:val="18"/>
                <w:u w:val="single"/>
              </w:rPr>
              <w:t>pisemnej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(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ćwiczenia)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>P4.Ocena z egzaminu ustnego/zaliczenia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016379" w:rsidP="00FB2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>Egzamin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FB2725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zaliczenie pisemne</w:t>
            </w:r>
            <w:r w:rsidR="003010C1">
              <w:rPr>
                <w:rFonts w:ascii="Times New Roman" w:eastAsia="Calibri" w:hAnsi="Times New Roman" w:cs="Times New Roman"/>
                <w:szCs w:val="18"/>
              </w:rPr>
              <w:t xml:space="preserve"> – wykład – 100 %</w:t>
            </w:r>
          </w:p>
        </w:tc>
      </w:tr>
      <w:tr w:rsidR="003010C1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10C1" w:rsidRDefault="000E3872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10</w:t>
            </w:r>
            <w:r w:rsidR="003010C1" w:rsidRPr="00B1560E">
              <w:rPr>
                <w:rFonts w:ascii="Times New Roman" w:eastAsia="Calibri" w:hAnsi="Times New Roman" w:cs="Times New Roman"/>
                <w:szCs w:val="18"/>
              </w:rPr>
              <w:t xml:space="preserve">0% – </w:t>
            </w:r>
            <w:r>
              <w:rPr>
                <w:rFonts w:ascii="Times New Roman" w:eastAsia="Calibri" w:hAnsi="Times New Roman" w:cs="Times New Roman"/>
                <w:szCs w:val="18"/>
              </w:rPr>
              <w:t>zaliczenie pisemne – rozwiązanie kazusu</w:t>
            </w:r>
          </w:p>
        </w:tc>
      </w:tr>
    </w:tbl>
    <w:p w:rsidR="007A7D44" w:rsidRPr="0020390B" w:rsidRDefault="007A7D4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C54671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184463" w:rsidP="0001637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 xml:space="preserve">Egzamin </w:t>
            </w:r>
            <w:r w:rsidR="00016379">
              <w:rPr>
                <w:rFonts w:ascii="Times New Roman" w:eastAsia="Calibri" w:hAnsi="Times New Roman" w:cs="Times New Roman"/>
                <w:b/>
              </w:rPr>
              <w:t>pisemny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FB2725" w:rsidP="009D2A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Zaliczenie pisemne</w:t>
            </w:r>
            <w:r w:rsidR="00C54671">
              <w:rPr>
                <w:rFonts w:ascii="Times New Roman" w:eastAsia="Calibri" w:hAnsi="Times New Roman" w:cs="Times New Roman"/>
                <w:b/>
              </w:rPr>
              <w:t xml:space="preserve"> wykład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1257" w:type="dxa"/>
            <w:vAlign w:val="center"/>
          </w:tcPr>
          <w:p w:rsidR="0003597A" w:rsidRPr="00B23FB7" w:rsidRDefault="0001637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</w:tc>
        <w:tc>
          <w:tcPr>
            <w:tcW w:w="1257" w:type="dxa"/>
            <w:vAlign w:val="center"/>
          </w:tcPr>
          <w:p w:rsidR="0003597A" w:rsidRPr="00B23FB7" w:rsidRDefault="0001637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3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01637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0359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01637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5</w:t>
            </w:r>
          </w:p>
        </w:tc>
        <w:tc>
          <w:tcPr>
            <w:tcW w:w="1257" w:type="dxa"/>
            <w:vAlign w:val="center"/>
          </w:tcPr>
          <w:p w:rsidR="0003597A" w:rsidRPr="00B23FB7" w:rsidRDefault="0001637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01637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E95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8C0142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E95639">
              <w:rPr>
                <w:rFonts w:ascii="Times New Roman" w:eastAsia="Calibri" w:hAnsi="Times New Roman" w:cs="Times New Roman"/>
              </w:rPr>
              <w:t>24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F97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8C0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F978FB">
              <w:rPr>
                <w:rFonts w:ascii="Times New Roman" w:eastAsia="Calibri" w:hAnsi="Times New Roman" w:cs="Times New Roman"/>
              </w:rPr>
              <w:t>32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F97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F978FB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0,56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 w:rsidR="00BA2DFB">
              <w:rPr>
                <w:rFonts w:ascii="Times New Roman" w:eastAsia="Calibri" w:hAnsi="Times New Roman" w:cs="Times New Roman"/>
              </w:rPr>
              <w:t xml:space="preserve"> egzaminu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 w:rsidR="00BA2DFB">
              <w:rPr>
                <w:rFonts w:ascii="Times New Roman" w:eastAsia="Calibri" w:hAnsi="Times New Roman" w:cs="Times New Roman"/>
              </w:rPr>
              <w:t>pisemnej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F978FB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F978FB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F97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F978FB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F97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F978F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F97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F978FB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F97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F978FB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2,44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F978FB" w:rsidP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F97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3,0</w:t>
            </w:r>
          </w:p>
        </w:tc>
      </w:tr>
      <w:tr w:rsidR="00A16270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A16270" w:rsidRPr="00B1560E" w:rsidTr="006F3BFE">
        <w:trPr>
          <w:cantSplit/>
          <w:trHeight w:val="132"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F978FB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F978FB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E95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F97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F77E2"/>
    <w:multiLevelType w:val="hybridMultilevel"/>
    <w:tmpl w:val="6CAC6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6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0403D"/>
    <w:multiLevelType w:val="hybridMultilevel"/>
    <w:tmpl w:val="6CAC6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F05B65"/>
    <w:multiLevelType w:val="hybridMultilevel"/>
    <w:tmpl w:val="6CAC6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18"/>
  </w:num>
  <w:num w:numId="5">
    <w:abstractNumId w:val="20"/>
  </w:num>
  <w:num w:numId="6">
    <w:abstractNumId w:val="0"/>
  </w:num>
  <w:num w:numId="7">
    <w:abstractNumId w:val="21"/>
  </w:num>
  <w:num w:numId="8">
    <w:abstractNumId w:val="1"/>
  </w:num>
  <w:num w:numId="9">
    <w:abstractNumId w:val="8"/>
  </w:num>
  <w:num w:numId="10">
    <w:abstractNumId w:val="16"/>
  </w:num>
  <w:num w:numId="11">
    <w:abstractNumId w:val="13"/>
  </w:num>
  <w:num w:numId="12">
    <w:abstractNumId w:val="24"/>
  </w:num>
  <w:num w:numId="13">
    <w:abstractNumId w:val="19"/>
  </w:num>
  <w:num w:numId="14">
    <w:abstractNumId w:val="9"/>
  </w:num>
  <w:num w:numId="15">
    <w:abstractNumId w:val="6"/>
  </w:num>
  <w:num w:numId="16">
    <w:abstractNumId w:val="17"/>
  </w:num>
  <w:num w:numId="17">
    <w:abstractNumId w:val="14"/>
  </w:num>
  <w:num w:numId="18">
    <w:abstractNumId w:val="22"/>
  </w:num>
  <w:num w:numId="19">
    <w:abstractNumId w:val="3"/>
  </w:num>
  <w:num w:numId="20">
    <w:abstractNumId w:val="5"/>
    <w:lvlOverride w:ilvl="0">
      <w:startOverride w:val="1"/>
    </w:lvlOverride>
  </w:num>
  <w:num w:numId="21">
    <w:abstractNumId w:val="4"/>
  </w:num>
  <w:num w:numId="22">
    <w:abstractNumId w:val="15"/>
  </w:num>
  <w:num w:numId="23">
    <w:abstractNumId w:val="12"/>
  </w:num>
  <w:num w:numId="24">
    <w:abstractNumId w:val="7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16379"/>
    <w:rsid w:val="0003507F"/>
    <w:rsid w:val="0003597A"/>
    <w:rsid w:val="000821A1"/>
    <w:rsid w:val="00094B6C"/>
    <w:rsid w:val="000A3030"/>
    <w:rsid w:val="000B1713"/>
    <w:rsid w:val="000E1598"/>
    <w:rsid w:val="000E3872"/>
    <w:rsid w:val="000E44C4"/>
    <w:rsid w:val="000E57A4"/>
    <w:rsid w:val="000F6BC8"/>
    <w:rsid w:val="0011589A"/>
    <w:rsid w:val="0016056A"/>
    <w:rsid w:val="00181AD2"/>
    <w:rsid w:val="00184463"/>
    <w:rsid w:val="001C5D95"/>
    <w:rsid w:val="001D225E"/>
    <w:rsid w:val="001E4F94"/>
    <w:rsid w:val="00202BE1"/>
    <w:rsid w:val="0020390B"/>
    <w:rsid w:val="00236EB2"/>
    <w:rsid w:val="00261F08"/>
    <w:rsid w:val="002D35E6"/>
    <w:rsid w:val="003010C1"/>
    <w:rsid w:val="0030144F"/>
    <w:rsid w:val="00324E6B"/>
    <w:rsid w:val="003372AB"/>
    <w:rsid w:val="003457A3"/>
    <w:rsid w:val="00347081"/>
    <w:rsid w:val="00356B80"/>
    <w:rsid w:val="003913A3"/>
    <w:rsid w:val="003E0F50"/>
    <w:rsid w:val="004000A2"/>
    <w:rsid w:val="0040153E"/>
    <w:rsid w:val="00402C35"/>
    <w:rsid w:val="00417815"/>
    <w:rsid w:val="00440B46"/>
    <w:rsid w:val="00445C54"/>
    <w:rsid w:val="00461EB5"/>
    <w:rsid w:val="00490AF0"/>
    <w:rsid w:val="004923A4"/>
    <w:rsid w:val="00495E3A"/>
    <w:rsid w:val="004A621C"/>
    <w:rsid w:val="004A670F"/>
    <w:rsid w:val="004C5CFD"/>
    <w:rsid w:val="004F4ECE"/>
    <w:rsid w:val="00565EF4"/>
    <w:rsid w:val="00575498"/>
    <w:rsid w:val="0059373C"/>
    <w:rsid w:val="005A209F"/>
    <w:rsid w:val="005C63B3"/>
    <w:rsid w:val="005E1F40"/>
    <w:rsid w:val="005F0EF0"/>
    <w:rsid w:val="005F2732"/>
    <w:rsid w:val="005F4F40"/>
    <w:rsid w:val="00613899"/>
    <w:rsid w:val="00662E69"/>
    <w:rsid w:val="00664619"/>
    <w:rsid w:val="00664D97"/>
    <w:rsid w:val="006B1AFC"/>
    <w:rsid w:val="006F3BFE"/>
    <w:rsid w:val="00705399"/>
    <w:rsid w:val="0077565A"/>
    <w:rsid w:val="007821CD"/>
    <w:rsid w:val="00782415"/>
    <w:rsid w:val="00794A09"/>
    <w:rsid w:val="007960DF"/>
    <w:rsid w:val="007A7D44"/>
    <w:rsid w:val="007B4C97"/>
    <w:rsid w:val="007D40BE"/>
    <w:rsid w:val="007E109D"/>
    <w:rsid w:val="008073B0"/>
    <w:rsid w:val="00814D29"/>
    <w:rsid w:val="008304BE"/>
    <w:rsid w:val="008561F3"/>
    <w:rsid w:val="00876EEB"/>
    <w:rsid w:val="00897224"/>
    <w:rsid w:val="008B38F6"/>
    <w:rsid w:val="008C0142"/>
    <w:rsid w:val="008E101D"/>
    <w:rsid w:val="00946211"/>
    <w:rsid w:val="009705B1"/>
    <w:rsid w:val="009B1B25"/>
    <w:rsid w:val="009B735D"/>
    <w:rsid w:val="009C1974"/>
    <w:rsid w:val="009D2ADB"/>
    <w:rsid w:val="009D629F"/>
    <w:rsid w:val="009E4CEB"/>
    <w:rsid w:val="00A16270"/>
    <w:rsid w:val="00A16E86"/>
    <w:rsid w:val="00A54EBF"/>
    <w:rsid w:val="00A60F4F"/>
    <w:rsid w:val="00A64397"/>
    <w:rsid w:val="00A64BA3"/>
    <w:rsid w:val="00A652FF"/>
    <w:rsid w:val="00A734DC"/>
    <w:rsid w:val="00A770A0"/>
    <w:rsid w:val="00A84477"/>
    <w:rsid w:val="00B1560E"/>
    <w:rsid w:val="00B23FB7"/>
    <w:rsid w:val="00B47841"/>
    <w:rsid w:val="00B6054F"/>
    <w:rsid w:val="00B65D85"/>
    <w:rsid w:val="00B762A5"/>
    <w:rsid w:val="00BA2DFB"/>
    <w:rsid w:val="00BB770C"/>
    <w:rsid w:val="00BD095A"/>
    <w:rsid w:val="00BE32AD"/>
    <w:rsid w:val="00C1686B"/>
    <w:rsid w:val="00C16ED0"/>
    <w:rsid w:val="00C22968"/>
    <w:rsid w:val="00C43177"/>
    <w:rsid w:val="00C54671"/>
    <w:rsid w:val="00C57808"/>
    <w:rsid w:val="00CB1659"/>
    <w:rsid w:val="00CB180E"/>
    <w:rsid w:val="00CB5E21"/>
    <w:rsid w:val="00CC4248"/>
    <w:rsid w:val="00CE3E50"/>
    <w:rsid w:val="00CE51D2"/>
    <w:rsid w:val="00CF13C6"/>
    <w:rsid w:val="00D10B3A"/>
    <w:rsid w:val="00DD374F"/>
    <w:rsid w:val="00DF702C"/>
    <w:rsid w:val="00E32D3C"/>
    <w:rsid w:val="00E75EF6"/>
    <w:rsid w:val="00E95639"/>
    <w:rsid w:val="00EB33D7"/>
    <w:rsid w:val="00EE6BCA"/>
    <w:rsid w:val="00EF3D4C"/>
    <w:rsid w:val="00F06174"/>
    <w:rsid w:val="00F103A2"/>
    <w:rsid w:val="00F45F92"/>
    <w:rsid w:val="00F4781D"/>
    <w:rsid w:val="00F824A7"/>
    <w:rsid w:val="00F93C38"/>
    <w:rsid w:val="00F978FB"/>
    <w:rsid w:val="00FA308D"/>
    <w:rsid w:val="00FB1B50"/>
    <w:rsid w:val="00FB2725"/>
    <w:rsid w:val="00FC1054"/>
    <w:rsid w:val="00FC7115"/>
    <w:rsid w:val="00FD2531"/>
    <w:rsid w:val="00FE090A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1174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justyna.ozog</dc:creator>
  <cp:lastModifiedBy>Justyna Ożóg</cp:lastModifiedBy>
  <cp:revision>9</cp:revision>
  <dcterms:created xsi:type="dcterms:W3CDTF">2024-11-25T11:09:00Z</dcterms:created>
  <dcterms:modified xsi:type="dcterms:W3CDTF">2024-12-01T08:53:00Z</dcterms:modified>
</cp:coreProperties>
</file>