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CBDBF96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5B7400">
              <w:rPr>
                <w:rFonts w:ascii="Times New Roman" w:hAnsi="Times New Roman" w:cs="Times New Roman"/>
                <w:b/>
              </w:rPr>
              <w:t>Polic</w:t>
            </w:r>
            <w:r w:rsidR="00726549">
              <w:rPr>
                <w:rFonts w:ascii="Times New Roman" w:hAnsi="Times New Roman" w:cs="Times New Roman"/>
                <w:b/>
              </w:rPr>
              <w:t>_40</w:t>
            </w:r>
            <w:r w:rsidR="007F074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E21A8A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PRAWO </w:t>
            </w:r>
            <w:r w:rsidR="005B7400">
              <w:rPr>
                <w:rFonts w:ascii="Times New Roman" w:eastAsia="Calibri" w:hAnsi="Times New Roman" w:cs="Times New Roman"/>
                <w:b/>
              </w:rPr>
              <w:t>WYKROCZEŃ I POSTĘPOWANIE W SPRAWACH O WYKROCZENIA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5B7400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POLICYJNY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czwarty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F074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F074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F074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78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626FEC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626FEC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26FEC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626FEC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626FEC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626FEC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26FEC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DE28B5" w:rsidRPr="00626FEC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  <w:r w:rsidR="00BE32AD" w:rsidRPr="00626FEC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626FEC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26FEC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626FEC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626FEC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626FE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26FEC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626FE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626FEC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26FEC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626FEC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F1277C" w:rsidRDefault="00F1277C" w:rsidP="00F1277C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F1277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Marek A., Marek Ossowska A., </w:t>
            </w:r>
            <w:r w:rsidRPr="00F1277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Prawo wykroczeń (materialne i procesowe) z testami online</w:t>
            </w:r>
            <w:r w:rsidRPr="00F1277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2023.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Default="00F1277C" w:rsidP="00F1277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F1277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Daniluk P. (red.), </w:t>
            </w:r>
            <w:r w:rsidRPr="00F1277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Prawo wykroczeń. Komentarz</w:t>
            </w:r>
            <w:r w:rsidRPr="00F1277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C.H. Beck, Warszawa 2016.</w:t>
            </w:r>
          </w:p>
          <w:p w:rsidR="00F1277C" w:rsidRPr="00F1277C" w:rsidRDefault="00F1277C" w:rsidP="00F1277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F1277C">
              <w:rPr>
                <w:rFonts w:ascii="Times New Roman" w:hAnsi="Times New Roman" w:cs="Times New Roman"/>
                <w:sz w:val="20"/>
              </w:rPr>
              <w:t>Bojarski M., Radecki W., Kodeks wykroczeń. Komentarz, wyd. 7, C.H. Beck, Warszawa 2015.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F4F40" w:rsidRDefault="004B129B" w:rsidP="004B129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129B">
              <w:rPr>
                <w:rFonts w:ascii="Times New Roman" w:hAnsi="Times New Roman" w:cs="Times New Roman"/>
                <w:sz w:val="20"/>
              </w:rPr>
              <w:t>Przedmiotem zajęć z przedmiotu jest problematyka prawa wykroczeń. W ramach zajęć dydaktycznych student uzyska wiedzę na temat instytucji i konstrukcji prawnych z zakresu prawa wykroczeń, a także pozna orzecznictwo organów wymiaru sprawiedliwości stosujących prawo wykroczeń.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F0748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2281" w:rsidRPr="00752281" w:rsidRDefault="00752281" w:rsidP="0075228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522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Historyczny rozwój prawa wykroczeń.</w:t>
            </w:r>
          </w:p>
          <w:p w:rsidR="00752281" w:rsidRPr="00752281" w:rsidRDefault="00752281" w:rsidP="0075228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522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Źródła prawa wykroczeń., jego normy i ich wykładnia.</w:t>
            </w:r>
          </w:p>
          <w:p w:rsidR="00752281" w:rsidRPr="00752281" w:rsidRDefault="00752281" w:rsidP="0075228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522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Obowiązywanie polskiej ustawy kodeks wykroczeń pod względem czasu, miejsca i osób.</w:t>
            </w:r>
          </w:p>
          <w:p w:rsidR="00752281" w:rsidRPr="00752281" w:rsidRDefault="00752281" w:rsidP="0075228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522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Pojęcie, struktura wykroczenia. Podział wykroczeń.</w:t>
            </w:r>
          </w:p>
          <w:p w:rsidR="00752281" w:rsidRPr="00752281" w:rsidRDefault="00752281" w:rsidP="0075228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522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Ustawowe znamiona czynu zabronionego.</w:t>
            </w:r>
          </w:p>
          <w:p w:rsidR="009D629F" w:rsidRPr="004B129B" w:rsidRDefault="00752281" w:rsidP="004B129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522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Formy stadialne i zjawiskowe popełnienia wykroczenia.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F0748">
              <w:rPr>
                <w:rFonts w:ascii="Times New Roman" w:eastAsia="Calibri" w:hAnsi="Times New Roman" w:cs="Times New Roman"/>
              </w:rPr>
              <w:t>12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2281" w:rsidRPr="00752281" w:rsidRDefault="00752281" w:rsidP="0075228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522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Okoliczności wyłączające odpowiedzialność za wykroczenie.</w:t>
            </w:r>
          </w:p>
          <w:p w:rsidR="00752281" w:rsidRPr="00752281" w:rsidRDefault="00752281" w:rsidP="0075228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522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Zbieg przepisów ustawy. Zbieg wykroczeń. Zbieg znamion przestępstwa i wykroczenia.</w:t>
            </w:r>
          </w:p>
          <w:p w:rsidR="00752281" w:rsidRPr="00752281" w:rsidRDefault="00752281" w:rsidP="0075228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522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Kary w kodeksie wykroczeń.</w:t>
            </w:r>
          </w:p>
          <w:p w:rsidR="00752281" w:rsidRPr="00752281" w:rsidRDefault="00752281" w:rsidP="0075228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522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Środki karne w kodeksie wykroczeń..</w:t>
            </w:r>
          </w:p>
          <w:p w:rsidR="00752281" w:rsidRPr="00752281" w:rsidRDefault="00752281" w:rsidP="0075228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522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Wymiar kary i środków karnych za wykroczenie.</w:t>
            </w:r>
          </w:p>
          <w:p w:rsidR="00752281" w:rsidRPr="00752281" w:rsidRDefault="00752281" w:rsidP="0075228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522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Przedawnienie w kodeksie wykroczeń.</w:t>
            </w:r>
          </w:p>
          <w:p w:rsidR="00752281" w:rsidRPr="00752281" w:rsidRDefault="00752281" w:rsidP="0075228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522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Zatarcie skazania w kodeksie wykroczeń.</w:t>
            </w:r>
          </w:p>
          <w:p w:rsidR="00752281" w:rsidRDefault="00752281" w:rsidP="0075228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522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Wybrane zagadnienia części szczególnej kodeksu wykroczeń – wybrane zagadnienia.</w:t>
            </w:r>
          </w:p>
          <w:p w:rsidR="00440B46" w:rsidRPr="00752281" w:rsidRDefault="00752281" w:rsidP="0075228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5228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Postępowanie w sprawach o wykroczenia - wybrane zagadnienia</w:t>
            </w:r>
            <w:r w:rsidR="004B129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626FEC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FEC" w:rsidRPr="00782415" w:rsidRDefault="00626FEC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FEC" w:rsidRPr="00123AF0" w:rsidRDefault="00626FEC" w:rsidP="00123AF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23AF0">
              <w:rPr>
                <w:rFonts w:ascii="Times New Roman" w:hAnsi="Times New Roman" w:cs="Times New Roman"/>
                <w:sz w:val="20"/>
              </w:rPr>
              <w:t>Student zna źródła prawa wykroczeń; zna i rozumie powiązania prawa wykroczeń i postępowania w sprawach o wykroczenia z prawem karnym i postępowaniem karnym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FEC" w:rsidRDefault="00626FE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K_W03</w:t>
            </w:r>
          </w:p>
          <w:p w:rsidR="00626FEC" w:rsidRDefault="00626FE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626FEC" w:rsidRPr="00706E5F" w:rsidRDefault="00626FE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FEC" w:rsidRPr="00706E5F" w:rsidRDefault="00626FE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FEC" w:rsidRPr="00706E5F" w:rsidRDefault="00626FE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626FEC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FEC" w:rsidRPr="00782415" w:rsidRDefault="00626FEC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FEC" w:rsidRPr="00123AF0" w:rsidRDefault="00626FEC" w:rsidP="00123AF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23AF0">
              <w:rPr>
                <w:rFonts w:ascii="Times New Roman" w:hAnsi="Times New Roman" w:cs="Times New Roman"/>
                <w:sz w:val="20"/>
              </w:rPr>
              <w:t>Student prawidłowo definiuje wszystkie podstawowe instytucje prawa wykroczeń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FEC" w:rsidRDefault="00626FE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626FEC" w:rsidRDefault="00626FE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626FEC" w:rsidRPr="00706E5F" w:rsidRDefault="00626FE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FEC" w:rsidRPr="00706E5F" w:rsidRDefault="00626FE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FEC" w:rsidRPr="00706E5F" w:rsidRDefault="00626FE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626FEC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6FEC" w:rsidRPr="00782415" w:rsidRDefault="00626FEC" w:rsidP="00123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 xml:space="preserve">EK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6FEC" w:rsidRPr="00123AF0" w:rsidRDefault="00626FEC" w:rsidP="00123AF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23AF0">
              <w:rPr>
                <w:rFonts w:ascii="Times New Roman" w:hAnsi="Times New Roman" w:cs="Times New Roman"/>
                <w:sz w:val="20"/>
              </w:rPr>
              <w:t>Student stosuje i umie sfunkcjonalizować instytucje prawa wykroczeń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FEC" w:rsidRDefault="00626FE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626FEC" w:rsidRDefault="00626FE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626FEC" w:rsidRPr="00706E5F" w:rsidRDefault="00626FE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FEC" w:rsidRPr="00706E5F" w:rsidRDefault="00626FE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FEC" w:rsidRPr="00706E5F" w:rsidRDefault="00626FEC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6E5F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123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123AF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123AF0" w:rsidRDefault="00CB1659" w:rsidP="00123AF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23AF0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123AF0" w:rsidRPr="00123AF0">
              <w:rPr>
                <w:rFonts w:ascii="Times New Roman" w:hAnsi="Times New Roman" w:cs="Times New Roman"/>
                <w:sz w:val="20"/>
              </w:rPr>
              <w:t>argumentuje posługując się prawidłowo prawniczą terminologią w obszarze prawa wykroczeń i postępowania w sprawach o wykroczenia</w:t>
            </w:r>
            <w:r w:rsidR="00626FEC">
              <w:rPr>
                <w:rFonts w:ascii="Times New Roman" w:hAnsi="Times New Roman" w:cs="Times New Roman"/>
                <w:sz w:val="20"/>
              </w:rPr>
              <w:t>, poznane zasady stosuje rozwijają się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626FEC">
              <w:rPr>
                <w:rFonts w:ascii="Times New Roman" w:eastAsia="Calibri" w:hAnsi="Times New Roman" w:cs="Times New Roman"/>
              </w:rPr>
              <w:t>12</w:t>
            </w:r>
          </w:p>
          <w:p w:rsidR="00C9473D" w:rsidRPr="00782415" w:rsidRDefault="00C9473D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C9473D" w:rsidRPr="00782415" w:rsidRDefault="00C9473D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123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123AF0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123AF0" w:rsidRDefault="009E4CEB" w:rsidP="00123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23AF0">
              <w:rPr>
                <w:rFonts w:ascii="Times New Roman" w:hAnsi="Times New Roman" w:cs="Times New Roman"/>
                <w:sz w:val="20"/>
              </w:rPr>
              <w:t xml:space="preserve">Student w </w:t>
            </w:r>
            <w:r w:rsidR="00123AF0" w:rsidRPr="00123AF0">
              <w:rPr>
                <w:rFonts w:ascii="Times New Roman" w:hAnsi="Times New Roman" w:cs="Times New Roman"/>
                <w:sz w:val="20"/>
              </w:rPr>
              <w:t>rozumie i ocenia zasadność istnienia określonych instytucji prawa wykroczeń</w:t>
            </w:r>
            <w:r w:rsidR="00C9473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C9473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123AF0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3AF0" w:rsidRPr="00782415" w:rsidRDefault="00123AF0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23AF0" w:rsidRPr="00123AF0" w:rsidRDefault="00123AF0" w:rsidP="00123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23AF0">
              <w:rPr>
                <w:rFonts w:ascii="Times New Roman" w:hAnsi="Times New Roman" w:cs="Times New Roman"/>
                <w:sz w:val="20"/>
              </w:rPr>
              <w:t>Student jest otwarty na alternatywne interpretacje przepisów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3AF0" w:rsidRPr="00782415" w:rsidRDefault="00123AF0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C9473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3AF0" w:rsidRPr="00782415" w:rsidRDefault="00123AF0" w:rsidP="00755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3AF0" w:rsidRPr="00782415" w:rsidRDefault="00123AF0" w:rsidP="00C94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C9473D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C9473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C9473D" w:rsidRDefault="0020390B" w:rsidP="00123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123AF0"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>prawa i postępowania w sprawach o wykroczenia</w:t>
            </w:r>
          </w:p>
        </w:tc>
      </w:tr>
      <w:tr w:rsidR="0020390B" w:rsidRPr="00C9473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C9473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123AF0"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>prawa i postępowania w sprawach o wykroczenia</w:t>
            </w:r>
          </w:p>
        </w:tc>
      </w:tr>
      <w:tr w:rsidR="0020390B" w:rsidRPr="00C9473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C9473D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123AF0"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>prawa i postępowania w sprawach o wykroczenia</w:t>
            </w:r>
          </w:p>
        </w:tc>
      </w:tr>
      <w:tr w:rsidR="0020390B" w:rsidRPr="00C9473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C9473D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123AF0"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>prawa i postępowania w sprawach o wykroczenia</w:t>
            </w:r>
          </w:p>
        </w:tc>
      </w:tr>
      <w:tr w:rsidR="0020390B" w:rsidRPr="00C9473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C9473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123AF0"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>prawa i postępowania w sprawach o wykroczenia</w:t>
            </w:r>
          </w:p>
        </w:tc>
      </w:tr>
      <w:tr w:rsidR="0020390B" w:rsidRPr="00C9473D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C9473D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123AF0"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>prawa i postępowania w sprawach o wykroczenia</w:t>
            </w:r>
            <w:r w:rsidR="005C63B3"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C9473D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123AF0">
              <w:rPr>
                <w:rFonts w:ascii="Times New Roman" w:eastAsia="Calibri" w:hAnsi="Times New Roman" w:cs="Times New Roman"/>
                <w:szCs w:val="18"/>
                <w:u w:val="single"/>
              </w:rPr>
              <w:t>zaliczenie pisemne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123AF0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123AF0" w:rsidP="00123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38236D" w:rsidRDefault="0038236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38236D" w:rsidRDefault="0038236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38236D" w:rsidRDefault="0038236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38236D" w:rsidRDefault="0038236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38236D" w:rsidRDefault="0038236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38236D" w:rsidRPr="0020390B" w:rsidRDefault="0038236D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752281" w:rsidP="007522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  <w:r w:rsidRPr="00B23FB7">
              <w:rPr>
                <w:rFonts w:ascii="Times New Roman" w:eastAsia="Calibri" w:hAnsi="Times New Roman" w:cs="Times New Roman"/>
                <w:b/>
              </w:rPr>
              <w:t xml:space="preserve"> pisemne </w:t>
            </w:r>
            <w:r w:rsidR="00C54671">
              <w:rPr>
                <w:rFonts w:ascii="Times New Roman" w:eastAsia="Calibri" w:hAnsi="Times New Roman" w:cs="Times New Roman"/>
                <w:b/>
              </w:rPr>
              <w:t>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75228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75228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75228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75228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75228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75228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75228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75228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7F0748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0,88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F07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7F0748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4998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24C63"/>
    <w:multiLevelType w:val="hybridMultilevel"/>
    <w:tmpl w:val="4998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AA666C"/>
    <w:multiLevelType w:val="hybridMultilevel"/>
    <w:tmpl w:val="4998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8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8"/>
  </w:num>
  <w:num w:numId="10">
    <w:abstractNumId w:val="16"/>
  </w:num>
  <w:num w:numId="11">
    <w:abstractNumId w:val="13"/>
  </w:num>
  <w:num w:numId="12">
    <w:abstractNumId w:val="24"/>
  </w:num>
  <w:num w:numId="13">
    <w:abstractNumId w:val="19"/>
  </w:num>
  <w:num w:numId="14">
    <w:abstractNumId w:val="9"/>
  </w:num>
  <w:num w:numId="15">
    <w:abstractNumId w:val="7"/>
  </w:num>
  <w:num w:numId="16">
    <w:abstractNumId w:val="17"/>
  </w:num>
  <w:num w:numId="17">
    <w:abstractNumId w:val="14"/>
  </w:num>
  <w:num w:numId="18">
    <w:abstractNumId w:val="23"/>
  </w:num>
  <w:num w:numId="19">
    <w:abstractNumId w:val="3"/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3872"/>
    <w:rsid w:val="000E44C4"/>
    <w:rsid w:val="000E57A4"/>
    <w:rsid w:val="000F6BC8"/>
    <w:rsid w:val="00123AF0"/>
    <w:rsid w:val="0016056A"/>
    <w:rsid w:val="00181AD2"/>
    <w:rsid w:val="00184463"/>
    <w:rsid w:val="001D225E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70587"/>
    <w:rsid w:val="0038236D"/>
    <w:rsid w:val="003913A3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B129B"/>
    <w:rsid w:val="004F4ECE"/>
    <w:rsid w:val="00575498"/>
    <w:rsid w:val="0059373C"/>
    <w:rsid w:val="005B7400"/>
    <w:rsid w:val="005C63B3"/>
    <w:rsid w:val="005E1F40"/>
    <w:rsid w:val="005F0EF0"/>
    <w:rsid w:val="005F2732"/>
    <w:rsid w:val="005F4F40"/>
    <w:rsid w:val="00613899"/>
    <w:rsid w:val="00626FEC"/>
    <w:rsid w:val="00662E69"/>
    <w:rsid w:val="00664D97"/>
    <w:rsid w:val="006A719D"/>
    <w:rsid w:val="00705399"/>
    <w:rsid w:val="00726549"/>
    <w:rsid w:val="00752281"/>
    <w:rsid w:val="0077565A"/>
    <w:rsid w:val="007821CD"/>
    <w:rsid w:val="00782415"/>
    <w:rsid w:val="00794A09"/>
    <w:rsid w:val="007960DF"/>
    <w:rsid w:val="007A7D44"/>
    <w:rsid w:val="007D40BE"/>
    <w:rsid w:val="007E109D"/>
    <w:rsid w:val="007F0748"/>
    <w:rsid w:val="008304BE"/>
    <w:rsid w:val="008561F3"/>
    <w:rsid w:val="00876EEB"/>
    <w:rsid w:val="00897224"/>
    <w:rsid w:val="008B38F6"/>
    <w:rsid w:val="009705B1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1686B"/>
    <w:rsid w:val="00C16ED0"/>
    <w:rsid w:val="00C22968"/>
    <w:rsid w:val="00C54671"/>
    <w:rsid w:val="00C57808"/>
    <w:rsid w:val="00C9473D"/>
    <w:rsid w:val="00CB1659"/>
    <w:rsid w:val="00CB180E"/>
    <w:rsid w:val="00CB5E21"/>
    <w:rsid w:val="00CC4248"/>
    <w:rsid w:val="00CD0A6F"/>
    <w:rsid w:val="00CE3E50"/>
    <w:rsid w:val="00CE51D2"/>
    <w:rsid w:val="00CF13C6"/>
    <w:rsid w:val="00D10B3A"/>
    <w:rsid w:val="00DA7115"/>
    <w:rsid w:val="00DD374F"/>
    <w:rsid w:val="00DE28B5"/>
    <w:rsid w:val="00DF702C"/>
    <w:rsid w:val="00E21A8A"/>
    <w:rsid w:val="00E32D3C"/>
    <w:rsid w:val="00E75EF6"/>
    <w:rsid w:val="00EB33D7"/>
    <w:rsid w:val="00EE6BCA"/>
    <w:rsid w:val="00EF3D4C"/>
    <w:rsid w:val="00F06174"/>
    <w:rsid w:val="00F103A2"/>
    <w:rsid w:val="00F1277C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11</cp:revision>
  <dcterms:created xsi:type="dcterms:W3CDTF">2024-11-25T11:20:00Z</dcterms:created>
  <dcterms:modified xsi:type="dcterms:W3CDTF">2024-12-01T10:52:00Z</dcterms:modified>
</cp:coreProperties>
</file>