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30A72" w:rsidP="00C30A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871AB7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D303B6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KARNE MATERIALNE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C30A72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C30A72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4A2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A2C43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71AB7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303B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D303B6" w:rsidRDefault="00D303B6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3B6">
              <w:rPr>
                <w:rFonts w:ascii="Times New Roman" w:hAnsi="Times New Roman" w:cs="Times New Roman"/>
                <w:bCs/>
                <w:sz w:val="20"/>
                <w:szCs w:val="20"/>
              </w:rPr>
              <w:t>Student przystępujący do zajęć z przedmiotu powinien posiadać podstawowe wiadomości oraz znajomość bazowych pojęć z zakresu prawa.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303B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C30A7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C30A7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875D1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875D1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6AB2" w:rsidRPr="006875D1" w:rsidRDefault="00AE0304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152AF" w:rsidRPr="006875D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5426E3" w:rsidRPr="006875D1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6875D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6875D1" w:rsidRDefault="00F45F92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9562C2" w:rsidRPr="006875D1">
              <w:rPr>
                <w:rFonts w:ascii="Times New Roman" w:eastAsia="Calibri" w:hAnsi="Times New Roman" w:cs="Times New Roman"/>
                <w:sz w:val="20"/>
              </w:rPr>
              <w:t>zaliczenie pisemne/ kolokwium łączące pytania otwarte i zamknięte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>wykład – wykład informacyjny, wykład monograficzny, problemowy, z elementami dyskusji, prezentowanie treści przy zastosowaniu prezentacji multimedialnej i innych źródeł – w tym aktów normatywnych i orzecznictwa. (prowadzący wykład jest aktywnym Radcą Prawnym).</w:t>
            </w:r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ćwiczenia- analiza treści aktów normatywnych wraz z ich omówieniem i wskazaniem możliwości praktycznego zastosowania, rozwiązywanie praktycznych przykładów (forma </w:t>
            </w:r>
            <w:proofErr w:type="spellStart"/>
            <w:r w:rsidRPr="006875D1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6875D1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  <w:r w:rsidRPr="006875D1">
              <w:rPr>
                <w:rFonts w:ascii="Times New Roman" w:eastAsia="Calibri" w:hAnsi="Times New Roman" w:cs="Times New Roman"/>
                <w:sz w:val="20"/>
              </w:rPr>
              <w:t>), rozwiązywanie kazusów, dyskusja z nauczycielem akademickim, praca w grupach na zasadzie stolików eksperckich oraz indywidualna nad wybranymi zadaniami z uwzględnieniem ujęcia praktycznego. (prowadzący ćwiczenia jest aktywnym Radcą Prawnym).</w:t>
            </w:r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6875D1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875D1" w:rsidRDefault="007152AF" w:rsidP="00956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875D1">
              <w:rPr>
                <w:rFonts w:ascii="Times New Roman" w:eastAsia="Calibri" w:hAnsi="Times New Roman" w:cs="Times New Roman"/>
                <w:sz w:val="20"/>
              </w:rPr>
              <w:t xml:space="preserve">rozwiązywanie kazusów - Kazusy wykorzystywane są w celu uzyskania wyjaśnień dotyczących prawa i jego zachowania w konkretnej sytuacji.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335B" w:rsidRPr="006875D1" w:rsidRDefault="00D07D47" w:rsidP="00D07D47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Bojarski M., </w:t>
            </w:r>
            <w:proofErr w:type="spellStart"/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Giezek</w:t>
            </w:r>
            <w:proofErr w:type="spellEnd"/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Sienkiewicz Z., </w:t>
            </w:r>
            <w:r w:rsidRPr="006875D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materialne. Część ogólna i szczególna</w:t>
            </w: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A2703E" w:rsidRPr="006875D1" w:rsidRDefault="00D07D47" w:rsidP="00D07D47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714" w:hanging="357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Stefański A. [red.], </w:t>
            </w:r>
            <w:r w:rsidRPr="006875D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karny. Komentarz</w:t>
            </w: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7D47" w:rsidRPr="006875D1" w:rsidRDefault="00D07D47" w:rsidP="00D07D47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Grześkowiak A., Wiak K. [red.], </w:t>
            </w:r>
            <w:r w:rsidRPr="006875D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karny. Komentarz</w:t>
            </w: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D07D47" w:rsidRPr="006875D1" w:rsidRDefault="00D07D47" w:rsidP="00D07D47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Warylewski J., </w:t>
            </w:r>
            <w:r w:rsidRPr="006875D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karne. Część ogólna</w:t>
            </w: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  <w:p w:rsidR="00F103A2" w:rsidRPr="006875D1" w:rsidRDefault="00D26AB2" w:rsidP="00D07D47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Teksty ak</w:t>
            </w:r>
            <w:r w:rsidR="00F103A2" w:rsidRPr="006875D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tów normatywnych dostępnych z Legalis.pl </w:t>
            </w:r>
          </w:p>
          <w:p w:rsidR="00D26AB2" w:rsidRPr="006875D1" w:rsidRDefault="005C5507" w:rsidP="00D07D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875D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</w:t>
            </w:r>
            <w:r w:rsidR="00274685" w:rsidRPr="006875D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303B6" w:rsidRPr="00B1560E" w:rsidTr="00AD6464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6875D1" w:rsidRDefault="00D303B6" w:rsidP="0054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1">
              <w:rPr>
                <w:rFonts w:ascii="Times New Roman" w:hAnsi="Times New Roman" w:cs="Times New Roman"/>
                <w:sz w:val="20"/>
                <w:szCs w:val="20"/>
              </w:rPr>
              <w:t>Poznanie w zarysie prawa karnego</w:t>
            </w:r>
            <w:r w:rsidR="005426E3" w:rsidRPr="006875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75D1">
              <w:rPr>
                <w:rFonts w:ascii="Times New Roman" w:hAnsi="Times New Roman" w:cs="Times New Roman"/>
                <w:sz w:val="20"/>
                <w:szCs w:val="20"/>
              </w:rPr>
              <w:t xml:space="preserve"> zasad egzekwowania odpowiedzialności </w:t>
            </w:r>
            <w:r w:rsidR="005426E3" w:rsidRPr="006875D1">
              <w:rPr>
                <w:rFonts w:ascii="Times New Roman" w:hAnsi="Times New Roman" w:cs="Times New Roman"/>
                <w:sz w:val="20"/>
                <w:szCs w:val="20"/>
              </w:rPr>
              <w:t>karnej za przestępstwa.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6875D1" w:rsidRDefault="00D303B6" w:rsidP="0054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1">
              <w:rPr>
                <w:rFonts w:ascii="Times New Roman" w:hAnsi="Times New Roman" w:cs="Times New Roman"/>
                <w:sz w:val="20"/>
                <w:szCs w:val="20"/>
              </w:rPr>
              <w:t xml:space="preserve">Kształtowanie umiejętności posługiwania się Kodeksem karnym </w:t>
            </w:r>
            <w:r w:rsidR="005426E3" w:rsidRPr="006875D1">
              <w:rPr>
                <w:rFonts w:ascii="Times New Roman" w:hAnsi="Times New Roman" w:cs="Times New Roman"/>
                <w:sz w:val="20"/>
                <w:szCs w:val="20"/>
              </w:rPr>
              <w:t>innymi przepisami prawa karnego.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6875D1" w:rsidRDefault="00D303B6" w:rsidP="00D3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D1">
              <w:rPr>
                <w:rFonts w:ascii="Times New Roman" w:hAnsi="Times New Roman" w:cs="Times New Roman"/>
                <w:sz w:val="20"/>
                <w:szCs w:val="20"/>
              </w:rPr>
              <w:t>Kształtowanie umiejętności niezbędnych dla wykonywania różnych funkcji administracyjnych w organach ścigania, wymiaru sprawiedliwości, w administracji rządowej, samorządowej i gospodarczej, w policji oraz w różnych innych instytucjach i organizacjach</w:t>
            </w:r>
            <w:r w:rsidR="005426E3" w:rsidRPr="00687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6875D1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542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426E3">
              <w:rPr>
                <w:rFonts w:ascii="Times New Roman" w:eastAsia="Calibri" w:hAnsi="Times New Roman" w:cs="Times New Roman"/>
              </w:rPr>
              <w:t>16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Prawo karne materialne- definicja i funkcje. Zasady prawa karnego. Źródła prawa karnego materialnego.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Obowiązywanie ustawy karnej pod względem czasu. Obowiązywanie ustawy karnej pod względem miejsca i osób.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Elementy struktury przestępstwa  i wykroczenia (podmiot przestępstwa; strona przedmiotowa przestępstwa; formy czynu; skutek czynu; związek przyczynowy; strona podmiotowa- wina, jej istota, funkcje i formy strony podmiotowej; przedmiot przestępstwa; typy przestępstwa).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Okoliczności wyłączające bezprawność. Okoliczności wyłączające winę w prawie karnym materialnym.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Formy stadialne i zjawiskowe popełnienia czynu zabronionego. Zbieg przestępstw i zbieg przepisów ustawy.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Kara - jej cele, funkcje oraz rodzaje. Środki karne w prawie karnym i wykroczeń. Środki probacyjne w prawie karnym i wykroczeń. Dyrektywy sądowego wymiaru kary. Recydywa, przestępczość zawodowa, zorganizowana i terrorystyczna oraz środki jej przeciwdziałania.</w:t>
            </w:r>
          </w:p>
          <w:p w:rsidR="009D629F" w:rsidRPr="006875D1" w:rsidRDefault="00706E5F" w:rsidP="00706E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Pojęcie środków zabezpieczających i ich rodzaje. </w:t>
            </w: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Przedawnienie karalności a przedawnienie wykonania kary i ich skutki. Instytucja zatarcia skazania/ukarania. Niepodleganie karze, amnestia, abolicja, ułaskawienie.</w:t>
            </w:r>
          </w:p>
        </w:tc>
      </w:tr>
      <w:tr w:rsidR="00FC1054" w:rsidRPr="006875D1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85FCB">
              <w:rPr>
                <w:rFonts w:ascii="Times New Roman" w:eastAsia="Calibri" w:hAnsi="Times New Roman" w:cs="Times New Roman"/>
              </w:rPr>
              <w:t>1</w:t>
            </w:r>
            <w:r w:rsidR="00C30A72">
              <w:rPr>
                <w:rFonts w:ascii="Times New Roman" w:eastAsia="Calibri" w:hAnsi="Times New Roman" w:cs="Times New Roman"/>
              </w:rPr>
              <w:t>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6875D1" w:rsidRDefault="00706E5F" w:rsidP="00706E5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przeciwko życiu i zdrowiu - kazus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przeciwko mieniu - kazus</w:t>
            </w:r>
          </w:p>
          <w:p w:rsidR="00706E5F" w:rsidRPr="006875D1" w:rsidRDefault="00706E5F" w:rsidP="00706E5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Przestępstwa przeciwko bezpieczeństwu powszechnemu i bezpieczeństwu w komunikacji - kazus</w:t>
            </w:r>
          </w:p>
          <w:p w:rsidR="005426E3" w:rsidRPr="006875D1" w:rsidRDefault="00706E5F" w:rsidP="00706E5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Omówienie wybranych typów przestępstw – kazusy.</w:t>
            </w:r>
          </w:p>
          <w:p w:rsidR="00706E5F" w:rsidRPr="006875D1" w:rsidRDefault="00706E5F" w:rsidP="00706E5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7152AF" w:rsidRPr="006875D1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6875D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06E5F" w:rsidRDefault="00BD095A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06E5F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06E5F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dla</w:t>
            </w:r>
            <w:r w:rsidRPr="00706E5F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06E5F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06E5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706E5F" w:rsidRPr="00706E5F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6875D1" w:rsidRDefault="00706E5F" w:rsidP="00A7039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75D1">
              <w:rPr>
                <w:rFonts w:ascii="Times New Roman" w:hAnsi="Times New Roman" w:cs="Times New Roman"/>
                <w:sz w:val="20"/>
              </w:rPr>
              <w:t>ma wiedzę pozwalającą na definiowanie pojęć z zakresu prawa karnego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875D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706E5F" w:rsidRPr="00706E5F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6875D1" w:rsidRDefault="00706E5F" w:rsidP="004154E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75D1">
              <w:rPr>
                <w:rFonts w:ascii="Times New Roman" w:hAnsi="Times New Roman" w:cs="Times New Roman"/>
                <w:sz w:val="20"/>
              </w:rPr>
              <w:t>prawidłowo definiuje, formułuje, nazywa i objaśnia zjawiska z zakresu prawa karnego i prawa wykroczeń zna podstawową terminologię języka właściwego dla praw</w:t>
            </w:r>
            <w:r w:rsidR="004154E7" w:rsidRPr="006875D1">
              <w:rPr>
                <w:rFonts w:ascii="Times New Roman" w:hAnsi="Times New Roman" w:cs="Times New Roman"/>
                <w:sz w:val="20"/>
              </w:rPr>
              <w:t>a karnego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875D1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00D13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00D13" w:rsidRPr="00706E5F" w:rsidRDefault="00000D13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706E5F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06E5F" w:rsidRPr="006875D1" w:rsidRDefault="00706E5F" w:rsidP="00515C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875D1">
              <w:rPr>
                <w:rFonts w:ascii="Times New Roman" w:hAnsi="Times New Roman" w:cs="Times New Roman"/>
                <w:sz w:val="20"/>
                <w:szCs w:val="18"/>
              </w:rPr>
              <w:t xml:space="preserve">potrafi formułować, interpretować  i stosować opis zjawisk prawno-karnych i przeprowadzić analizę ich odróżnienia od innych zjawisk prawnych 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F63A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A70393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70393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0393" w:rsidRPr="00706E5F" w:rsidRDefault="00A70393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0393" w:rsidRPr="006875D1" w:rsidRDefault="00A70393" w:rsidP="00515C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875D1">
              <w:rPr>
                <w:rFonts w:ascii="Times New Roman" w:hAnsi="Times New Roman" w:cs="Times New Roman"/>
                <w:sz w:val="20"/>
                <w:szCs w:val="18"/>
              </w:rPr>
              <w:t xml:space="preserve">potrafi analizować i dobierać terminologię z zakresu prawa karnego i prawa wykroczeń oraz prawidłowo się nią posługiwać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393" w:rsidRPr="00706E5F" w:rsidRDefault="00A7039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F63A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393" w:rsidRPr="00706E5F" w:rsidRDefault="00A70393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393" w:rsidRPr="00706E5F" w:rsidRDefault="00A70393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8D51C8" w:rsidRPr="00706E5F" w:rsidTr="00C7473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D51C8" w:rsidRPr="006875D1" w:rsidRDefault="008D51C8" w:rsidP="00F63A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875D1">
              <w:rPr>
                <w:rFonts w:ascii="Times New Roman" w:hAnsi="Times New Roman" w:cs="Times New Roman"/>
                <w:sz w:val="20"/>
                <w:szCs w:val="18"/>
              </w:rPr>
              <w:t>potrafi weryfikować i użytkować wiedzę teoretyczną do opisu pojęć, instytucji oraz zasad prawa karnego części ogólnej i szczególnej  i praktycznie analizować charakterystyczne dla tych gałęzi procesy i zjawiska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F63A69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8D51C8" w:rsidRPr="00706E5F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8D51C8" w:rsidRPr="00706E5F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1C8" w:rsidRPr="00F63A69" w:rsidRDefault="008D51C8" w:rsidP="00670CF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3A69">
              <w:rPr>
                <w:rFonts w:ascii="Times New Roman" w:hAnsi="Times New Roman" w:cs="Times New Roman"/>
                <w:sz w:val="20"/>
              </w:rPr>
              <w:t xml:space="preserve">utożsamia się z wartościami, celami i zadaniami realizowanymi w praktyce </w:t>
            </w:r>
            <w:r w:rsidR="00670CFB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70CFB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8D51C8" w:rsidRPr="00706E5F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1C8" w:rsidRPr="00F63A69" w:rsidRDefault="008D51C8" w:rsidP="004154E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3A69">
              <w:rPr>
                <w:rFonts w:ascii="Times New Roman" w:hAnsi="Times New Roman" w:cs="Times New Roman"/>
                <w:sz w:val="20"/>
              </w:rPr>
              <w:t>Wykazuje gotowość do podejmowania wyzwań zawodowych oraz charakteryzuje się wytrwałością w poszukiwaniu rozwiązań.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70CF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1C8" w:rsidRPr="00706E5F" w:rsidRDefault="008D51C8" w:rsidP="008D5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515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77C7A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</w:t>
            </w:r>
            <w:r w:rsidR="00936E7B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wstępu do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70CF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515CFE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  <w:r w:rsidR="005C63B3"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70CFB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515CF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15CFE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515CFE">
              <w:rPr>
                <w:rFonts w:ascii="Times New Roman" w:eastAsia="Calibri" w:hAnsi="Times New Roman" w:cs="Times New Roman"/>
                <w:szCs w:val="18"/>
                <w:u w:val="single"/>
              </w:rPr>
              <w:t>/ rozwiązywania kazusów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515CFE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515CFE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515CFE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670CFB" w:rsidRDefault="00515CFE" w:rsidP="00515CF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</w:rPr>
              <w:t xml:space="preserve">wykład:  zaliczenie pisemne 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670CFB" w:rsidRDefault="00515CFE" w:rsidP="00E2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70CFB">
              <w:rPr>
                <w:rFonts w:ascii="Times New Roman" w:eastAsia="Calibri" w:hAnsi="Times New Roman" w:cs="Times New Roman"/>
                <w:sz w:val="20"/>
              </w:rPr>
              <w:t>ćwiczenia: zalicz</w:t>
            </w:r>
            <w:bookmarkStart w:id="0" w:name="_GoBack"/>
            <w:bookmarkEnd w:id="0"/>
            <w:r w:rsidRPr="00670CFB">
              <w:rPr>
                <w:rFonts w:ascii="Times New Roman" w:eastAsia="Calibri" w:hAnsi="Times New Roman" w:cs="Times New Roman"/>
                <w:sz w:val="20"/>
              </w:rPr>
              <w:t>enie pisemne/ kolokwium łączące pytania otwarte i zamknięte</w:t>
            </w:r>
          </w:p>
        </w:tc>
      </w:tr>
    </w:tbl>
    <w:p w:rsidR="00515CFE" w:rsidRPr="0020390B" w:rsidRDefault="00515CF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EA76D3">
              <w:rPr>
                <w:rFonts w:ascii="Times New Roman" w:eastAsia="Calibri" w:hAnsi="Times New Roman" w:cs="Times New Roman"/>
                <w:b/>
              </w:rPr>
              <w:t>- łączone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EA76D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3613BD">
        <w:trPr>
          <w:trHeight w:val="425"/>
        </w:trPr>
        <w:tc>
          <w:tcPr>
            <w:tcW w:w="1209" w:type="dxa"/>
            <w:vAlign w:val="center"/>
          </w:tcPr>
          <w:p w:rsidR="00515CFE" w:rsidRPr="00936E7B" w:rsidRDefault="00515CF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E7B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A76D3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085FC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30A7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30A7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C30A72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84074D">
              <w:rPr>
                <w:rFonts w:ascii="Times New Roman" w:eastAsia="Calibri" w:hAnsi="Times New Roman" w:cs="Times New Roman"/>
              </w:rPr>
              <w:t xml:space="preserve"> zaliczenia/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C30A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C30A7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A76D3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76D3" w:rsidRPr="00B1560E" w:rsidRDefault="00EA76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6D3" w:rsidRPr="00B1560E" w:rsidRDefault="00C30A72" w:rsidP="0002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6D3" w:rsidRPr="00B1560E" w:rsidRDefault="00EA76D3" w:rsidP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C30A7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30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B40D7"/>
    <w:multiLevelType w:val="hybridMultilevel"/>
    <w:tmpl w:val="6E58BB22"/>
    <w:lvl w:ilvl="0" w:tplc="8DD0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4B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3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08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00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4A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06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AB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63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333F"/>
    <w:rsid w:val="0003597A"/>
    <w:rsid w:val="00077C7A"/>
    <w:rsid w:val="000821A1"/>
    <w:rsid w:val="00085FCB"/>
    <w:rsid w:val="000A3030"/>
    <w:rsid w:val="000B1713"/>
    <w:rsid w:val="000D3EFF"/>
    <w:rsid w:val="000E3872"/>
    <w:rsid w:val="000E44C4"/>
    <w:rsid w:val="000E57A4"/>
    <w:rsid w:val="000F6BC8"/>
    <w:rsid w:val="0016056A"/>
    <w:rsid w:val="00181AD2"/>
    <w:rsid w:val="00184463"/>
    <w:rsid w:val="001D18F7"/>
    <w:rsid w:val="001D225E"/>
    <w:rsid w:val="001D34C5"/>
    <w:rsid w:val="00202BE1"/>
    <w:rsid w:val="0020390B"/>
    <w:rsid w:val="00261F08"/>
    <w:rsid w:val="00274685"/>
    <w:rsid w:val="002C3853"/>
    <w:rsid w:val="003010C1"/>
    <w:rsid w:val="00324E6B"/>
    <w:rsid w:val="003372AB"/>
    <w:rsid w:val="003457A3"/>
    <w:rsid w:val="00347081"/>
    <w:rsid w:val="003613BD"/>
    <w:rsid w:val="003913A3"/>
    <w:rsid w:val="003E0F50"/>
    <w:rsid w:val="0040153E"/>
    <w:rsid w:val="00402C35"/>
    <w:rsid w:val="004154E7"/>
    <w:rsid w:val="00417815"/>
    <w:rsid w:val="00440B46"/>
    <w:rsid w:val="00445C54"/>
    <w:rsid w:val="00461EB5"/>
    <w:rsid w:val="004841E2"/>
    <w:rsid w:val="00490AF0"/>
    <w:rsid w:val="004A2C43"/>
    <w:rsid w:val="004A621C"/>
    <w:rsid w:val="004A670F"/>
    <w:rsid w:val="004F4ECE"/>
    <w:rsid w:val="00515CFE"/>
    <w:rsid w:val="005426E3"/>
    <w:rsid w:val="00575498"/>
    <w:rsid w:val="0059373C"/>
    <w:rsid w:val="005C5507"/>
    <w:rsid w:val="005C63B3"/>
    <w:rsid w:val="005E1F40"/>
    <w:rsid w:val="005F2732"/>
    <w:rsid w:val="005F4F40"/>
    <w:rsid w:val="00613899"/>
    <w:rsid w:val="00662E69"/>
    <w:rsid w:val="00664D97"/>
    <w:rsid w:val="00670CFB"/>
    <w:rsid w:val="006875D1"/>
    <w:rsid w:val="00705399"/>
    <w:rsid w:val="00706E5F"/>
    <w:rsid w:val="007152AF"/>
    <w:rsid w:val="0077565A"/>
    <w:rsid w:val="007821CD"/>
    <w:rsid w:val="00782415"/>
    <w:rsid w:val="00791F26"/>
    <w:rsid w:val="00794A09"/>
    <w:rsid w:val="007960DF"/>
    <w:rsid w:val="007A7D44"/>
    <w:rsid w:val="007C73EB"/>
    <w:rsid w:val="007D40BE"/>
    <w:rsid w:val="007E109D"/>
    <w:rsid w:val="008304BE"/>
    <w:rsid w:val="0084074D"/>
    <w:rsid w:val="008561F3"/>
    <w:rsid w:val="00871AB7"/>
    <w:rsid w:val="00897224"/>
    <w:rsid w:val="008B38F6"/>
    <w:rsid w:val="008C363B"/>
    <w:rsid w:val="008D51C8"/>
    <w:rsid w:val="00913A0F"/>
    <w:rsid w:val="0092399E"/>
    <w:rsid w:val="00936E7B"/>
    <w:rsid w:val="009562C2"/>
    <w:rsid w:val="009705B1"/>
    <w:rsid w:val="009B1B25"/>
    <w:rsid w:val="009C1974"/>
    <w:rsid w:val="009D2ADB"/>
    <w:rsid w:val="009D629F"/>
    <w:rsid w:val="00A16270"/>
    <w:rsid w:val="00A16E86"/>
    <w:rsid w:val="00A2703E"/>
    <w:rsid w:val="00A324C5"/>
    <w:rsid w:val="00A54EBF"/>
    <w:rsid w:val="00A60F4F"/>
    <w:rsid w:val="00A64397"/>
    <w:rsid w:val="00A64BA3"/>
    <w:rsid w:val="00A70393"/>
    <w:rsid w:val="00A770A0"/>
    <w:rsid w:val="00A90ADB"/>
    <w:rsid w:val="00AE0304"/>
    <w:rsid w:val="00B1560E"/>
    <w:rsid w:val="00B23FB7"/>
    <w:rsid w:val="00B5260E"/>
    <w:rsid w:val="00B762A5"/>
    <w:rsid w:val="00BA2DFB"/>
    <w:rsid w:val="00BB770C"/>
    <w:rsid w:val="00BD095A"/>
    <w:rsid w:val="00BE32AD"/>
    <w:rsid w:val="00C1686B"/>
    <w:rsid w:val="00C16ED0"/>
    <w:rsid w:val="00C22968"/>
    <w:rsid w:val="00C30A72"/>
    <w:rsid w:val="00C3335B"/>
    <w:rsid w:val="00C54671"/>
    <w:rsid w:val="00C57808"/>
    <w:rsid w:val="00C90FD1"/>
    <w:rsid w:val="00CB180E"/>
    <w:rsid w:val="00CB5E21"/>
    <w:rsid w:val="00CC4248"/>
    <w:rsid w:val="00CE3E50"/>
    <w:rsid w:val="00CE51D2"/>
    <w:rsid w:val="00CF13C6"/>
    <w:rsid w:val="00CF144C"/>
    <w:rsid w:val="00D07D47"/>
    <w:rsid w:val="00D10B3A"/>
    <w:rsid w:val="00D26AB2"/>
    <w:rsid w:val="00D303B6"/>
    <w:rsid w:val="00DF702C"/>
    <w:rsid w:val="00E25315"/>
    <w:rsid w:val="00E32D3C"/>
    <w:rsid w:val="00E33647"/>
    <w:rsid w:val="00E61DA3"/>
    <w:rsid w:val="00E75EF6"/>
    <w:rsid w:val="00EA76D3"/>
    <w:rsid w:val="00EB33D7"/>
    <w:rsid w:val="00EE6BCA"/>
    <w:rsid w:val="00EF3D4C"/>
    <w:rsid w:val="00F06174"/>
    <w:rsid w:val="00F103A2"/>
    <w:rsid w:val="00F45F92"/>
    <w:rsid w:val="00F63A69"/>
    <w:rsid w:val="00F824A7"/>
    <w:rsid w:val="00F93C38"/>
    <w:rsid w:val="00FB1B50"/>
    <w:rsid w:val="00FC1054"/>
    <w:rsid w:val="00FC7115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64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47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3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97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16</cp:revision>
  <dcterms:created xsi:type="dcterms:W3CDTF">2023-11-16T19:42:00Z</dcterms:created>
  <dcterms:modified xsi:type="dcterms:W3CDTF">2024-12-01T07:38:00Z</dcterms:modified>
</cp:coreProperties>
</file>