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4EE09734" wp14:editId="19158966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44C9EC" wp14:editId="6C034197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2913DF0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2D35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03507F">
              <w:rPr>
                <w:rFonts w:ascii="Times New Roman" w:hAnsi="Times New Roman" w:cs="Times New Roman"/>
                <w:b/>
              </w:rPr>
              <w:t>303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664619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SPOŁECZNE</w:t>
            </w:r>
            <w:r w:rsidR="0003507F">
              <w:rPr>
                <w:rFonts w:ascii="Times New Roman" w:eastAsia="Calibri" w:hAnsi="Times New Roman" w:cs="Times New Roman"/>
                <w:b/>
              </w:rPr>
              <w:t xml:space="preserve"> UWARUNKOWANIA PRZESTĘPCZOŚCI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76EEB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3507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trzeci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66461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03507F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03507F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6F3BF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D95ECF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95ECF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D95ECF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D95ECF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95ECF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FB2725" w:rsidRPr="00D95ECF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D95ECF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FB2725" w:rsidRPr="00D95ECF">
              <w:rPr>
                <w:rFonts w:ascii="Times New Roman" w:eastAsia="Calibri" w:hAnsi="Times New Roman" w:cs="Times New Roman"/>
                <w:sz w:val="20"/>
              </w:rPr>
              <w:t>e</w:t>
            </w:r>
          </w:p>
          <w:p w:rsidR="00A770A0" w:rsidRPr="00D95ECF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95ECF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D95ECF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D95ECF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95ECF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D95ECF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D95ECF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95ECF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D95ECF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104C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04C0" w:rsidRPr="00B23FB7" w:rsidRDefault="004104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04C0" w:rsidRPr="00D95ECF" w:rsidRDefault="004104C0" w:rsidP="004104C0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D95EC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Hołyst</w:t>
            </w:r>
            <w:proofErr w:type="spellEnd"/>
            <w:r w:rsidRPr="00D95EC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 w:rsidRPr="00D95ECF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Kryminologia</w:t>
            </w:r>
            <w:r w:rsidRPr="00D95EC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D95EC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LexisNexis</w:t>
            </w:r>
            <w:proofErr w:type="spellEnd"/>
            <w:r w:rsidRPr="00D95EC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2022.</w:t>
            </w:r>
          </w:p>
          <w:p w:rsidR="004104C0" w:rsidRPr="00D95ECF" w:rsidRDefault="004104C0" w:rsidP="004104C0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D95EC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Chomczyński</w:t>
            </w:r>
            <w:proofErr w:type="spellEnd"/>
            <w:r w:rsidRPr="00D95EC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P., Frąckowiak P., Woźniakowska D. (red.), </w:t>
            </w:r>
            <w:r w:rsidRPr="00D95ECF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Kryminologia</w:t>
            </w:r>
            <w:r w:rsidRPr="00D95EC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PWN, Warszawa 2023.</w:t>
            </w:r>
            <w:r w:rsidRPr="00D95EC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ab/>
            </w:r>
          </w:p>
        </w:tc>
      </w:tr>
      <w:tr w:rsidR="004104C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04C0" w:rsidRPr="00B23FB7" w:rsidRDefault="004104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04C0" w:rsidRPr="00D95ECF" w:rsidRDefault="004104C0" w:rsidP="004104C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D95EC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Dadak</w:t>
            </w:r>
            <w:proofErr w:type="spellEnd"/>
            <w:r w:rsidRPr="00D95EC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W., Grzyb M., Szuba-Boroń A., Widacki J., </w:t>
            </w:r>
            <w:r w:rsidRPr="00D95ECF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Kryminologia. Zarys systemu z testami on-line</w:t>
            </w:r>
            <w:r w:rsidRPr="00D95EC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CH BECK, Warszawa 2022.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D95ECF" w:rsidRDefault="00B85289" w:rsidP="00B8528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95ECF">
              <w:rPr>
                <w:rFonts w:ascii="Times New Roman" w:hAnsi="Times New Roman" w:cs="Times New Roman"/>
                <w:sz w:val="20"/>
              </w:rPr>
              <w:t>Wskazanie studentowi zagrożeń przestępczością w ujęciu geograficznym, przedstawienie i wyjaśnienie podstawowych zagrożeń kryminalnych oraz podstawowych pojęć takich jak dynamika przestępczości, wykrywalność przestępstw czy zagrożenie przestępczością.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D95ECF" w:rsidRDefault="00B85289" w:rsidP="00B8528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95ECF">
              <w:rPr>
                <w:rFonts w:ascii="Times New Roman" w:hAnsi="Times New Roman" w:cs="Times New Roman"/>
                <w:sz w:val="20"/>
              </w:rPr>
              <w:t>Przedstawienie szczegółowej problematyki związanej z przestępczością pospolitą ze szczególnym uwzględnieniem przestępstw przeciwko mieniu, przeciwko osobie zwłaszcza z użyciem przemocy, zagadnień korupcyjnych, przestępczości narkotykowej, handlu ludźmi i innych.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D95ECF" w:rsidRDefault="00B85289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95ECF">
              <w:rPr>
                <w:rFonts w:ascii="Times New Roman" w:hAnsi="Times New Roman" w:cs="Times New Roman"/>
                <w:sz w:val="20"/>
              </w:rPr>
              <w:t>Wypracowanie umiejętności rzeczywistej oceny zagrożeń wybranymi typami przestępczości kryminalnej, dyskusja na temat sposobów działań sprawców wybranych kategorii przestępstw.</w:t>
            </w:r>
          </w:p>
        </w:tc>
      </w:tr>
    </w:tbl>
    <w:p w:rsidR="00B85289" w:rsidRDefault="00B85289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61"/>
        <w:gridCol w:w="1156"/>
        <w:gridCol w:w="1487"/>
        <w:gridCol w:w="2966"/>
        <w:gridCol w:w="1161"/>
        <w:gridCol w:w="1249"/>
        <w:gridCol w:w="391"/>
        <w:gridCol w:w="1050"/>
      </w:tblGrid>
      <w:tr w:rsidR="00261F08" w:rsidRPr="00B1560E" w:rsidTr="00D95ECF">
        <w:trPr>
          <w:gridBefore w:val="1"/>
          <w:gridAfter w:val="1"/>
          <w:wBefore w:w="567" w:type="dxa"/>
          <w:wAfter w:w="1050" w:type="dxa"/>
        </w:trPr>
        <w:tc>
          <w:tcPr>
            <w:tcW w:w="918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D95ECF">
        <w:trPr>
          <w:gridBefore w:val="1"/>
          <w:gridAfter w:val="1"/>
          <w:wBefore w:w="567" w:type="dxa"/>
          <w:wAfter w:w="1050" w:type="dxa"/>
        </w:trPr>
        <w:tc>
          <w:tcPr>
            <w:tcW w:w="192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D95ECF">
        <w:trPr>
          <w:gridBefore w:val="1"/>
          <w:gridAfter w:val="1"/>
          <w:wBefore w:w="567" w:type="dxa"/>
          <w:wAfter w:w="1050" w:type="dxa"/>
        </w:trPr>
        <w:tc>
          <w:tcPr>
            <w:tcW w:w="1926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66461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77C8" w:rsidRPr="00D95ECF" w:rsidRDefault="006377C8" w:rsidP="006377C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5EC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Podstawowe źródła informacji o przestępczości. </w:t>
            </w:r>
          </w:p>
          <w:p w:rsidR="006377C8" w:rsidRPr="00D95ECF" w:rsidRDefault="006377C8" w:rsidP="006377C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5EC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Pojęcie przestępczości i przestępstwa. </w:t>
            </w:r>
          </w:p>
          <w:p w:rsidR="006377C8" w:rsidRPr="00D95ECF" w:rsidRDefault="006377C8" w:rsidP="006377C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5EC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„Ciemna liczba” przestępczości. </w:t>
            </w:r>
          </w:p>
          <w:p w:rsidR="006377C8" w:rsidRPr="00D95ECF" w:rsidRDefault="006377C8" w:rsidP="006377C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5EC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Podmiot i przedmiot przestępstwa.</w:t>
            </w:r>
          </w:p>
          <w:p w:rsidR="006377C8" w:rsidRPr="00D95ECF" w:rsidRDefault="006377C8" w:rsidP="006377C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5EC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Rozmiar, dynamika i geografia przestępczości.</w:t>
            </w:r>
          </w:p>
          <w:p w:rsidR="006377C8" w:rsidRPr="00D95ECF" w:rsidRDefault="006377C8" w:rsidP="006377C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5EC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Uwarunkowania przestępczości: czynniki społeczno-ekonomiczne a przestępczość; </w:t>
            </w:r>
          </w:p>
          <w:p w:rsidR="006377C8" w:rsidRPr="00D95ECF" w:rsidRDefault="006377C8" w:rsidP="006377C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5EC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Przestępczość w procesie szybkich zmian społecznych; </w:t>
            </w:r>
          </w:p>
          <w:p w:rsidR="006377C8" w:rsidRPr="00D95ECF" w:rsidRDefault="006377C8" w:rsidP="006377C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5EC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Zjawiska kulturowe o negatywnej treści społecznej; </w:t>
            </w:r>
          </w:p>
          <w:p w:rsidR="009D629F" w:rsidRPr="00D95ECF" w:rsidRDefault="006377C8" w:rsidP="006377C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5EC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niewłaściwe czynniki środowiskowe.</w:t>
            </w:r>
          </w:p>
        </w:tc>
      </w:tr>
      <w:tr w:rsidR="00FC1054" w:rsidRPr="00B1560E" w:rsidTr="00D95ECF">
        <w:trPr>
          <w:gridBefore w:val="1"/>
          <w:gridAfter w:val="1"/>
          <w:wBefore w:w="567" w:type="dxa"/>
          <w:wAfter w:w="1050" w:type="dxa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03507F">
              <w:rPr>
                <w:rFonts w:ascii="Times New Roman" w:eastAsia="Calibri" w:hAnsi="Times New Roman" w:cs="Times New Roman"/>
              </w:rPr>
              <w:t>16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77C8" w:rsidRPr="00D95ECF" w:rsidRDefault="006377C8" w:rsidP="006377C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5EC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Podział i charakterystyka przestępczości: kryminalna, gospodarcza, zorganizowana.</w:t>
            </w:r>
          </w:p>
          <w:p w:rsidR="006377C8" w:rsidRPr="00D95ECF" w:rsidRDefault="006377C8" w:rsidP="006377C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5EC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Przestępczość nieletnich. Charakterystyka. Czynniki warunkujące demoralizację i przestępczość nieletnich. Etiologia działalności nieletnich sprawców. Rozmiary i dynamika przestępczości nieletnich. Struktura przestępczości nieletnich. </w:t>
            </w:r>
          </w:p>
          <w:p w:rsidR="006377C8" w:rsidRPr="00D95ECF" w:rsidRDefault="006377C8" w:rsidP="006377C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5EC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Przestępczość kobiet. Charakterystyka. Czynniki warunkujące przestępczość kobiet. Rozmiary i dynamika przestępczości kobiet. Struktura przestępczości kobiet. </w:t>
            </w:r>
          </w:p>
          <w:p w:rsidR="001C62C6" w:rsidRPr="00D95ECF" w:rsidRDefault="001C62C6" w:rsidP="006377C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5ECF">
              <w:rPr>
                <w:rFonts w:ascii="Times New Roman" w:hAnsi="Times New Roman" w:cs="Times New Roman"/>
                <w:sz w:val="20"/>
              </w:rPr>
              <w:t>Przestępczość pospolita ze szczególnym uwzględnieniem przestępstw przeciwko mieniu, przeciwko osobie zwłaszcza z użyciem przemocy, zagadnie</w:t>
            </w:r>
            <w:r w:rsidR="00B85289" w:rsidRPr="00D95ECF">
              <w:rPr>
                <w:rFonts w:ascii="Times New Roman" w:hAnsi="Times New Roman" w:cs="Times New Roman"/>
                <w:sz w:val="20"/>
              </w:rPr>
              <w:t>nia</w:t>
            </w:r>
            <w:r w:rsidRPr="00D95ECF">
              <w:rPr>
                <w:rFonts w:ascii="Times New Roman" w:hAnsi="Times New Roman" w:cs="Times New Roman"/>
                <w:sz w:val="20"/>
              </w:rPr>
              <w:t xml:space="preserve"> korupcyjn</w:t>
            </w:r>
            <w:r w:rsidR="00B85289" w:rsidRPr="00D95ECF">
              <w:rPr>
                <w:rFonts w:ascii="Times New Roman" w:hAnsi="Times New Roman" w:cs="Times New Roman"/>
                <w:sz w:val="20"/>
              </w:rPr>
              <w:t>e</w:t>
            </w:r>
            <w:r w:rsidRPr="00D95ECF">
              <w:rPr>
                <w:rFonts w:ascii="Times New Roman" w:hAnsi="Times New Roman" w:cs="Times New Roman"/>
                <w:sz w:val="20"/>
              </w:rPr>
              <w:t>, przestępczoś</w:t>
            </w:r>
            <w:r w:rsidR="00B85289" w:rsidRPr="00D95ECF">
              <w:rPr>
                <w:rFonts w:ascii="Times New Roman" w:hAnsi="Times New Roman" w:cs="Times New Roman"/>
                <w:sz w:val="20"/>
              </w:rPr>
              <w:t xml:space="preserve">ć </w:t>
            </w:r>
            <w:r w:rsidRPr="00D95ECF">
              <w:rPr>
                <w:rFonts w:ascii="Times New Roman" w:hAnsi="Times New Roman" w:cs="Times New Roman"/>
                <w:sz w:val="20"/>
              </w:rPr>
              <w:t>narko</w:t>
            </w:r>
            <w:r w:rsidR="00B85289" w:rsidRPr="00D95ECF">
              <w:rPr>
                <w:rFonts w:ascii="Times New Roman" w:hAnsi="Times New Roman" w:cs="Times New Roman"/>
                <w:sz w:val="20"/>
              </w:rPr>
              <w:t>tykowa, handel ludźmi i inne</w:t>
            </w:r>
            <w:r w:rsidRPr="00D95ECF">
              <w:rPr>
                <w:rFonts w:ascii="Times New Roman" w:hAnsi="Times New Roman" w:cs="Times New Roman"/>
                <w:sz w:val="20"/>
              </w:rPr>
              <w:t>.</w:t>
            </w:r>
          </w:p>
          <w:p w:rsidR="00440B46" w:rsidRPr="00D95ECF" w:rsidRDefault="006377C8" w:rsidP="006377C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5EC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Społeczny odbiór przestępczości. Sposoby zapobiegania przestępczości: zadania Policji, działalność uprawnionych organów i organizacji społecznych.</w:t>
            </w:r>
          </w:p>
          <w:p w:rsidR="006377C8" w:rsidRPr="00D95ECF" w:rsidRDefault="006377C8" w:rsidP="0063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6377C8" w:rsidRPr="00D95ECF" w:rsidRDefault="006377C8" w:rsidP="0063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5EC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Zajęcia mają charakter praktyczny – studenci przygotowują się do zajęć w formie prezentacji wybranych zagadnień, prowadzą dyskusję, </w:t>
            </w:r>
            <w:r w:rsidR="001C62C6" w:rsidRPr="00D95EC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analizę studium przypadku, danych statystycznych.</w:t>
            </w:r>
          </w:p>
        </w:tc>
      </w:tr>
      <w:tr w:rsidR="00261F08" w:rsidRPr="00782415" w:rsidTr="00D95ECF">
        <w:tc>
          <w:tcPr>
            <w:tcW w:w="10797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782415" w:rsidTr="00D95ECF">
        <w:tc>
          <w:tcPr>
            <w:tcW w:w="6946" w:type="dxa"/>
            <w:gridSpan w:val="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D95ECF">
        <w:tc>
          <w:tcPr>
            <w:tcW w:w="6946" w:type="dxa"/>
            <w:gridSpan w:val="6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D95ECF">
        <w:tc>
          <w:tcPr>
            <w:tcW w:w="10797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D95ECF">
        <w:tc>
          <w:tcPr>
            <w:tcW w:w="13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445A8B" w:rsidRDefault="009B1B25" w:rsidP="00B8528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45A8B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445A8B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B85289" w:rsidRPr="00445A8B">
              <w:rPr>
                <w:rFonts w:ascii="Times New Roman" w:hAnsi="Times New Roman" w:cs="Times New Roman"/>
                <w:sz w:val="20"/>
              </w:rPr>
              <w:t>na temat społecznych uwarunkowań przestępczości w Polsce i na świecie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D95ECF">
              <w:rPr>
                <w:rFonts w:ascii="Times New Roman" w:eastAsia="Calibri" w:hAnsi="Times New Roman" w:cs="Times New Roman"/>
              </w:rPr>
              <w:t>04</w:t>
            </w:r>
          </w:p>
          <w:p w:rsidR="00D95ECF" w:rsidRPr="00782415" w:rsidRDefault="00D95EC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D95ECF" w:rsidRPr="00782415" w:rsidRDefault="00D95EC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D374F" w:rsidRPr="00782415" w:rsidTr="00D95ECF">
        <w:tc>
          <w:tcPr>
            <w:tcW w:w="13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445A8B" w:rsidRDefault="00DD374F" w:rsidP="00B8528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45A8B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23BA2" w:rsidRPr="00445A8B">
              <w:rPr>
                <w:rFonts w:ascii="Times New Roman" w:hAnsi="Times New Roman" w:cs="Times New Roman"/>
                <w:sz w:val="20"/>
              </w:rPr>
              <w:t>p</w:t>
            </w:r>
            <w:r w:rsidR="00B85289" w:rsidRPr="00445A8B">
              <w:rPr>
                <w:rFonts w:ascii="Times New Roman" w:hAnsi="Times New Roman" w:cs="Times New Roman"/>
                <w:sz w:val="20"/>
              </w:rPr>
              <w:t>osiada rozszerzoną wiedzę na temat typów przestępczości</w:t>
            </w:r>
            <w:r w:rsidR="00423BA2" w:rsidRPr="00445A8B">
              <w:rPr>
                <w:rFonts w:ascii="Times New Roman" w:hAnsi="Times New Roman" w:cs="Times New Roman"/>
                <w:sz w:val="20"/>
              </w:rPr>
              <w:t xml:space="preserve">, przestępczości </w:t>
            </w:r>
            <w:r w:rsidR="00B85289" w:rsidRPr="00445A8B">
              <w:rPr>
                <w:rFonts w:ascii="Times New Roman" w:hAnsi="Times New Roman" w:cs="Times New Roman"/>
                <w:sz w:val="20"/>
              </w:rPr>
              <w:t>zorganizowanej, narkotykowej korupcyjnej w Polsce</w:t>
            </w:r>
            <w:r w:rsidR="00423BA2" w:rsidRPr="00445A8B">
              <w:rPr>
                <w:rFonts w:ascii="Times New Roman" w:hAnsi="Times New Roman" w:cs="Times New Roman"/>
                <w:sz w:val="20"/>
              </w:rPr>
              <w:t>, zna i identyfikuje organy zajmujące się jej zwalczaniem.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D95ECF">
              <w:rPr>
                <w:rFonts w:ascii="Times New Roman" w:eastAsia="Calibri" w:hAnsi="Times New Roman" w:cs="Times New Roman"/>
              </w:rPr>
              <w:t>03</w:t>
            </w:r>
          </w:p>
          <w:p w:rsidR="00D95ECF" w:rsidRPr="00782415" w:rsidRDefault="00D95EC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D95ECF">
        <w:tc>
          <w:tcPr>
            <w:tcW w:w="10797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D95ECF"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E70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EK </w:t>
            </w:r>
            <w:r w:rsidR="00E701E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423BA2" w:rsidRDefault="00CB1659" w:rsidP="00423BA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23BA2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423BA2" w:rsidRPr="00423BA2">
              <w:rPr>
                <w:rFonts w:ascii="Times New Roman" w:hAnsi="Times New Roman" w:cs="Times New Roman"/>
                <w:sz w:val="20"/>
              </w:rPr>
              <w:t xml:space="preserve">posługiwać się </w:t>
            </w:r>
            <w:r w:rsidR="00423BA2">
              <w:rPr>
                <w:rFonts w:ascii="Times New Roman" w:hAnsi="Times New Roman" w:cs="Times New Roman"/>
                <w:sz w:val="20"/>
              </w:rPr>
              <w:t xml:space="preserve">pojęciami dynamiki </w:t>
            </w:r>
            <w:r w:rsidR="00423BA2" w:rsidRPr="00423BA2">
              <w:rPr>
                <w:rFonts w:ascii="Times New Roman" w:hAnsi="Times New Roman" w:cs="Times New Roman"/>
                <w:sz w:val="20"/>
              </w:rPr>
              <w:t xml:space="preserve">i wykrywalności przestępstw, </w:t>
            </w:r>
            <w:r w:rsidR="00423BA2">
              <w:rPr>
                <w:rFonts w:ascii="Times New Roman" w:hAnsi="Times New Roman" w:cs="Times New Roman"/>
                <w:sz w:val="20"/>
              </w:rPr>
              <w:t xml:space="preserve">samodzielnie </w:t>
            </w:r>
            <w:r w:rsidR="00423BA2" w:rsidRPr="00423BA2">
              <w:rPr>
                <w:rFonts w:ascii="Times New Roman" w:hAnsi="Times New Roman" w:cs="Times New Roman"/>
                <w:sz w:val="20"/>
              </w:rPr>
              <w:t>obliczać te w</w:t>
            </w:r>
            <w:r w:rsidR="00423BA2">
              <w:rPr>
                <w:rFonts w:ascii="Times New Roman" w:hAnsi="Times New Roman" w:cs="Times New Roman"/>
                <w:sz w:val="20"/>
              </w:rPr>
              <w:t xml:space="preserve">skaźniki i wykorzystać na rzecz </w:t>
            </w:r>
            <w:r w:rsidR="00423BA2" w:rsidRPr="00423BA2">
              <w:rPr>
                <w:rFonts w:ascii="Times New Roman" w:hAnsi="Times New Roman" w:cs="Times New Roman"/>
                <w:sz w:val="20"/>
              </w:rPr>
              <w:t>prowadzonych badań</w:t>
            </w:r>
            <w:r w:rsidR="00423BA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D95EC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D95ECF"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E70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E701E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423BA2" w:rsidRDefault="00CB1659" w:rsidP="00423BA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23BA2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23BA2" w:rsidRPr="00423BA2">
              <w:rPr>
                <w:rFonts w:ascii="Times New Roman" w:hAnsi="Times New Roman" w:cs="Times New Roman"/>
                <w:sz w:val="20"/>
              </w:rPr>
              <w:t>wykazuje</w:t>
            </w:r>
            <w:r w:rsidR="00423BA2">
              <w:rPr>
                <w:rFonts w:ascii="Times New Roman" w:hAnsi="Times New Roman" w:cs="Times New Roman"/>
                <w:sz w:val="20"/>
              </w:rPr>
              <w:t xml:space="preserve"> się dobrą znajomością przyczyn </w:t>
            </w:r>
            <w:r w:rsidR="00423BA2" w:rsidRPr="00423BA2">
              <w:rPr>
                <w:rFonts w:ascii="Times New Roman" w:hAnsi="Times New Roman" w:cs="Times New Roman"/>
                <w:sz w:val="20"/>
              </w:rPr>
              <w:t>zróżnicowania zagroż</w:t>
            </w:r>
            <w:r w:rsidR="00423BA2">
              <w:rPr>
                <w:rFonts w:ascii="Times New Roman" w:hAnsi="Times New Roman" w:cs="Times New Roman"/>
                <w:sz w:val="20"/>
              </w:rPr>
              <w:t xml:space="preserve">eń przestępczością w zależności </w:t>
            </w:r>
            <w:r w:rsidR="00423BA2" w:rsidRPr="00423BA2">
              <w:rPr>
                <w:rFonts w:ascii="Times New Roman" w:hAnsi="Times New Roman" w:cs="Times New Roman"/>
                <w:sz w:val="20"/>
              </w:rPr>
              <w:t>od uwarunkowań geograficznych i społecznych</w:t>
            </w:r>
            <w:r w:rsidR="00423BA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C570F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D95ECF"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E70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E701E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423BA2" w:rsidRDefault="009E4CEB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23BA2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423BA2" w:rsidRPr="00423BA2">
              <w:rPr>
                <w:rFonts w:ascii="Times New Roman" w:hAnsi="Times New Roman" w:cs="Times New Roman"/>
                <w:sz w:val="20"/>
              </w:rPr>
              <w:t>stosować metodę uzupełniania wiedzy i uczenia się przez całe życie, w celu właściwego wykonywania powierzonych obowiązków.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D95EC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D95ECF">
        <w:tc>
          <w:tcPr>
            <w:tcW w:w="10797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D95ECF">
        <w:tc>
          <w:tcPr>
            <w:tcW w:w="13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E701E2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E701E2" w:rsidRDefault="009E4CEB" w:rsidP="00E7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01E2">
              <w:rPr>
                <w:rFonts w:ascii="Times New Roman" w:hAnsi="Times New Roman" w:cs="Times New Roman"/>
                <w:sz w:val="20"/>
              </w:rPr>
              <w:t>Student</w:t>
            </w:r>
            <w:r w:rsidR="00E701E2" w:rsidRPr="00E701E2">
              <w:rPr>
                <w:rFonts w:ascii="Times New Roman" w:hAnsi="Times New Roman" w:cs="Times New Roman"/>
                <w:sz w:val="20"/>
              </w:rPr>
              <w:t xml:space="preserve"> ma</w:t>
            </w:r>
            <w:r w:rsidRPr="00E701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01E2" w:rsidRPr="00E701E2">
              <w:rPr>
                <w:rFonts w:ascii="Times New Roman" w:hAnsi="Times New Roman" w:cs="Times New Roman"/>
                <w:sz w:val="20"/>
              </w:rPr>
              <w:t>wiedzę wystarczającą do tego, aby postępować tak, by uniknąć zagrożeń o charakterze kryminalnym</w:t>
            </w:r>
            <w:r w:rsidR="00E701E2">
              <w:rPr>
                <w:rFonts w:ascii="Times New Roman" w:hAnsi="Times New Roman" w:cs="Times New Roman"/>
                <w:sz w:val="20"/>
              </w:rPr>
              <w:t>,</w:t>
            </w:r>
            <w:r w:rsidR="00E701E2" w:rsidRPr="00E701E2">
              <w:rPr>
                <w:rFonts w:ascii="Times New Roman" w:hAnsi="Times New Roman" w:cs="Times New Roman"/>
                <w:sz w:val="20"/>
              </w:rPr>
              <w:t xml:space="preserve"> czy</w:t>
            </w:r>
            <w:r w:rsidR="00E701E2">
              <w:rPr>
                <w:rFonts w:ascii="Times New Roman" w:hAnsi="Times New Roman" w:cs="Times New Roman"/>
                <w:sz w:val="20"/>
              </w:rPr>
              <w:t xml:space="preserve"> k</w:t>
            </w:r>
            <w:r w:rsidR="00E701E2" w:rsidRPr="00E701E2">
              <w:rPr>
                <w:rFonts w:ascii="Times New Roman" w:hAnsi="Times New Roman" w:cs="Times New Roman"/>
                <w:sz w:val="20"/>
              </w:rPr>
              <w:t>orupcyjnym.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C570F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C5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C570F5"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E701E2" w:rsidRPr="00782415" w:rsidTr="00D95ECF">
        <w:tc>
          <w:tcPr>
            <w:tcW w:w="13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1E2" w:rsidRPr="00782415" w:rsidRDefault="00E701E2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01E2" w:rsidRPr="00E701E2" w:rsidRDefault="00E701E2" w:rsidP="00E7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01E2">
              <w:rPr>
                <w:rFonts w:ascii="Times New Roman" w:hAnsi="Times New Roman" w:cs="Times New Roman"/>
                <w:sz w:val="20"/>
              </w:rPr>
              <w:t>Potrafi przeprowadz</w:t>
            </w:r>
            <w:r>
              <w:rPr>
                <w:rFonts w:ascii="Times New Roman" w:hAnsi="Times New Roman" w:cs="Times New Roman"/>
                <w:sz w:val="20"/>
              </w:rPr>
              <w:t xml:space="preserve">ić podstawowa diagnozę zagrożeń </w:t>
            </w:r>
            <w:r w:rsidRPr="00E701E2">
              <w:rPr>
                <w:rFonts w:ascii="Times New Roman" w:hAnsi="Times New Roman" w:cs="Times New Roman"/>
                <w:sz w:val="20"/>
              </w:rPr>
              <w:t>przestępczością w ujęciu lokalnym i krajowym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1E2" w:rsidRPr="00782415" w:rsidRDefault="00E701E2" w:rsidP="00F3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C570F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1E2" w:rsidRPr="00782415" w:rsidRDefault="00E701E2" w:rsidP="00F3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01E2" w:rsidRPr="00782415" w:rsidRDefault="00E701E2" w:rsidP="00F3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C570F5">
              <w:rPr>
                <w:rFonts w:ascii="Times New Roman" w:eastAsia="Calibri" w:hAnsi="Times New Roman" w:cs="Times New Roman"/>
              </w:rPr>
              <w:t>O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C570F5" w:rsidRDefault="0020390B" w:rsidP="00E70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E701E2"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>społecznych uwarunkowań przestępczości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C570F5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E701E2"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>społecznych uwarunkowań przestępczości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C570F5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E701E2"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>społecznych uwarunkowań przestępczości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C570F5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E701E2"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>społecznych uwarunkowań przestępczości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C570F5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E701E2"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>społecznych uwarunkowań przestępczości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C570F5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E701E2"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społecznych uwarunkowań przestępczości </w:t>
            </w:r>
            <w:r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701E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E701E2">
              <w:rPr>
                <w:rFonts w:ascii="Times New Roman" w:eastAsia="Calibri" w:hAnsi="Times New Roman" w:cs="Times New Roman"/>
                <w:szCs w:val="18"/>
                <w:u w:val="single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 xml:space="preserve">postępów w nauce – ocena zadań realizowanych w czasie trwania semestru (ocenianie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lastRenderedPageBreak/>
              <w:t>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E701E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zaliczenie </w:t>
            </w:r>
            <w:proofErr w:type="spellStart"/>
            <w:r w:rsidR="00E701E2">
              <w:rPr>
                <w:rFonts w:ascii="Times New Roman" w:eastAsia="Calibri" w:hAnsi="Times New Roman" w:cs="Times New Roman"/>
                <w:szCs w:val="18"/>
                <w:u w:val="single"/>
              </w:rPr>
              <w:t>pismene</w:t>
            </w:r>
            <w:proofErr w:type="spellEnd"/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FB2725" w:rsidP="00FB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C570F5" w:rsidRDefault="00FB2725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</w:t>
            </w:r>
            <w:r w:rsidR="003010C1"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C570F5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>10</w:t>
            </w:r>
            <w:r w:rsidR="003010C1"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0% – </w:t>
            </w:r>
            <w:r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 – rozwiązanie kazusu</w:t>
            </w:r>
            <w:r w:rsidR="00F7655C" w:rsidRPr="00C570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dodatkowo ocenianie ciągłe postępów w nauce – realizowanych zadaniach 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B2725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7655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7655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7655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F7655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7655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F7655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7655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F7655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7655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F7655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F7655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F7655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664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664619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03507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6F3BFE">
        <w:trPr>
          <w:cantSplit/>
          <w:trHeight w:val="132"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70572"/>
    <w:multiLevelType w:val="hybridMultilevel"/>
    <w:tmpl w:val="D0D0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C3765"/>
    <w:multiLevelType w:val="hybridMultilevel"/>
    <w:tmpl w:val="E86C0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19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5"/>
  </w:num>
  <w:num w:numId="11">
    <w:abstractNumId w:val="12"/>
  </w:num>
  <w:num w:numId="12">
    <w:abstractNumId w:val="24"/>
  </w:num>
  <w:num w:numId="13">
    <w:abstractNumId w:val="18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0D99"/>
    <w:rsid w:val="0003507F"/>
    <w:rsid w:val="0003597A"/>
    <w:rsid w:val="000821A1"/>
    <w:rsid w:val="00094B6C"/>
    <w:rsid w:val="000A3030"/>
    <w:rsid w:val="000B1713"/>
    <w:rsid w:val="000E3872"/>
    <w:rsid w:val="000E44C4"/>
    <w:rsid w:val="000E57A4"/>
    <w:rsid w:val="000F6BC8"/>
    <w:rsid w:val="0011589A"/>
    <w:rsid w:val="0016056A"/>
    <w:rsid w:val="00181AD2"/>
    <w:rsid w:val="00184463"/>
    <w:rsid w:val="001C62C6"/>
    <w:rsid w:val="001D225E"/>
    <w:rsid w:val="00202BE1"/>
    <w:rsid w:val="0020390B"/>
    <w:rsid w:val="00261F08"/>
    <w:rsid w:val="002D35E6"/>
    <w:rsid w:val="003010C1"/>
    <w:rsid w:val="0030144F"/>
    <w:rsid w:val="00324E6B"/>
    <w:rsid w:val="003372AB"/>
    <w:rsid w:val="003457A3"/>
    <w:rsid w:val="00347081"/>
    <w:rsid w:val="003913A3"/>
    <w:rsid w:val="003E0F50"/>
    <w:rsid w:val="0040153E"/>
    <w:rsid w:val="00402C35"/>
    <w:rsid w:val="004104C0"/>
    <w:rsid w:val="00417815"/>
    <w:rsid w:val="00423BA2"/>
    <w:rsid w:val="00440B46"/>
    <w:rsid w:val="00445A8B"/>
    <w:rsid w:val="00445C54"/>
    <w:rsid w:val="00461EB5"/>
    <w:rsid w:val="00490AF0"/>
    <w:rsid w:val="00495E3A"/>
    <w:rsid w:val="004A621C"/>
    <w:rsid w:val="004A670F"/>
    <w:rsid w:val="004F4ECE"/>
    <w:rsid w:val="00575498"/>
    <w:rsid w:val="0059373C"/>
    <w:rsid w:val="005A209F"/>
    <w:rsid w:val="005C63B3"/>
    <w:rsid w:val="005E1F40"/>
    <w:rsid w:val="005F0EF0"/>
    <w:rsid w:val="005F2732"/>
    <w:rsid w:val="005F4F40"/>
    <w:rsid w:val="00613899"/>
    <w:rsid w:val="006377C8"/>
    <w:rsid w:val="00662E69"/>
    <w:rsid w:val="00664619"/>
    <w:rsid w:val="00664D97"/>
    <w:rsid w:val="006F3BFE"/>
    <w:rsid w:val="00705399"/>
    <w:rsid w:val="0077565A"/>
    <w:rsid w:val="007821CD"/>
    <w:rsid w:val="00782415"/>
    <w:rsid w:val="00794A09"/>
    <w:rsid w:val="007960DF"/>
    <w:rsid w:val="007A7D44"/>
    <w:rsid w:val="007D40BE"/>
    <w:rsid w:val="007E109D"/>
    <w:rsid w:val="008073B0"/>
    <w:rsid w:val="008304BE"/>
    <w:rsid w:val="008561F3"/>
    <w:rsid w:val="00876EEB"/>
    <w:rsid w:val="00897224"/>
    <w:rsid w:val="008B38F6"/>
    <w:rsid w:val="009705B1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34DC"/>
    <w:rsid w:val="00A770A0"/>
    <w:rsid w:val="00B1560E"/>
    <w:rsid w:val="00B23FB7"/>
    <w:rsid w:val="00B47841"/>
    <w:rsid w:val="00B6054F"/>
    <w:rsid w:val="00B65D85"/>
    <w:rsid w:val="00B762A5"/>
    <w:rsid w:val="00B85289"/>
    <w:rsid w:val="00BA2DFB"/>
    <w:rsid w:val="00BB770C"/>
    <w:rsid w:val="00BD095A"/>
    <w:rsid w:val="00BE32AD"/>
    <w:rsid w:val="00C1686B"/>
    <w:rsid w:val="00C16ED0"/>
    <w:rsid w:val="00C22968"/>
    <w:rsid w:val="00C54671"/>
    <w:rsid w:val="00C570F5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95ECF"/>
    <w:rsid w:val="00DD374F"/>
    <w:rsid w:val="00DF702C"/>
    <w:rsid w:val="00E32D3C"/>
    <w:rsid w:val="00E701E2"/>
    <w:rsid w:val="00E75EF6"/>
    <w:rsid w:val="00EB33D7"/>
    <w:rsid w:val="00EE6BCA"/>
    <w:rsid w:val="00EF3D4C"/>
    <w:rsid w:val="00F06174"/>
    <w:rsid w:val="00F103A2"/>
    <w:rsid w:val="00F45F92"/>
    <w:rsid w:val="00F7655C"/>
    <w:rsid w:val="00F77531"/>
    <w:rsid w:val="00F824A7"/>
    <w:rsid w:val="00F93C38"/>
    <w:rsid w:val="00FB1B50"/>
    <w:rsid w:val="00FB2725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1247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9</cp:revision>
  <dcterms:created xsi:type="dcterms:W3CDTF">2024-11-25T10:46:00Z</dcterms:created>
  <dcterms:modified xsi:type="dcterms:W3CDTF">2024-12-01T08:07:00Z</dcterms:modified>
</cp:coreProperties>
</file>